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7D9" w:rsidRDefault="00FA47D9" w:rsidP="00FA47D9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FORMULARZ CENOWY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>Załącznik nr 2 do zaproszenia</w:t>
      </w:r>
    </w:p>
    <w:p w:rsidR="00FA47D9" w:rsidRDefault="00FA47D9" w:rsidP="00FA47D9">
      <w:pPr>
        <w:rPr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Oprawy oświetlenia ewakuacyjnego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</w:p>
    <w:p w:rsidR="00FA47D9" w:rsidRDefault="00FA47D9" w:rsidP="00FA47D9">
      <w:pPr>
        <w:rPr>
          <w:sz w:val="18"/>
          <w:szCs w:val="18"/>
        </w:rPr>
      </w:pP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68"/>
        <w:gridCol w:w="4572"/>
        <w:gridCol w:w="740"/>
        <w:gridCol w:w="740"/>
        <w:gridCol w:w="1060"/>
        <w:gridCol w:w="1000"/>
        <w:gridCol w:w="1180"/>
        <w:gridCol w:w="1460"/>
        <w:gridCol w:w="1393"/>
        <w:gridCol w:w="1326"/>
      </w:tblGrid>
      <w:tr w:rsidR="00FA47D9" w:rsidTr="00FA47D9">
        <w:trPr>
          <w:trHeight w:val="5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Lp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Opis przedmiotu zamówienia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Jm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Ilość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Cena jednostkowa netto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% VAT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VAT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brutto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jc w:val="center"/>
            </w:pPr>
            <w:r>
              <w:rPr>
                <w:b/>
                <w:sz w:val="18"/>
                <w:szCs w:val="18"/>
              </w:rPr>
              <w:t>Nazwa/Producent/ nr katalogowy</w:t>
            </w:r>
          </w:p>
        </w:tc>
      </w:tr>
      <w:tr w:rsidR="00FA47D9" w:rsidTr="00FA47D9">
        <w:trPr>
          <w:trHeight w:val="10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A47D9" w:rsidRDefault="00FA47D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5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A47D9" w:rsidRDefault="00FA47D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A47D9" w:rsidRDefault="00FA47D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A47D9" w:rsidRDefault="00FA47D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A47D9" w:rsidRDefault="00FA47D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A47D9" w:rsidRDefault="00FA47D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A47D9" w:rsidRDefault="00FA47D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A47D9" w:rsidRDefault="00FA47D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3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A47D9" w:rsidRDefault="00FA47D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3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A47D9" w:rsidRDefault="00FA47D9">
            <w:pPr>
              <w:jc w:val="center"/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FA47D9" w:rsidTr="00FA47D9">
        <w:trPr>
          <w:trHeight w:val="1986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pStyle w:val="Lista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45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 w:rsidP="005176E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Nastropowa oprawa do oświetlenia awaryjnego-ewakuacyjnego i antypanicznego zgodnie z normami EN 1838, EN 50172, ewakuacyjne oświetlenie awaryjne zgodne z normą EN 60598-2-22. Szczelna obudowa do pracy w warunkach trudnych. Rodzaj oprawy: Ewakuacyjne z własnym zasilaniem; Strumień świetlny w trybie awaryjnym (PELF): 170lm; EBLF: 100.00; System pracy ośw. awaryjnego: ATI; Czas autonomii: 3h; Tryb pracy: TC; Standardowe odchylenie dopasowania kolorów (SDCM): SDCM &lt;3; Ogólny wskaźnik oddawania barw (Ra): &gt;70; Sposób rozsyłu światłości: </w:t>
            </w:r>
            <w:r w:rsidR="008875FA">
              <w:rPr>
                <w:rFonts w:ascii="Calibri" w:hAnsi="Calibri" w:cs="Calibri"/>
                <w:color w:val="000000"/>
                <w:sz w:val="16"/>
                <w:szCs w:val="16"/>
              </w:rPr>
              <w:t>soczewkowy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; </w:t>
            </w:r>
            <w:r w:rsidR="008875F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Materiał soczewki: PMMA; Konstrukcja soczewki: pojedyncza; Materiał dyfuzora: PC; Rodzaj dyfuzora: bezbarwny, Materiał obudowy: PC,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Geometria rozsyłu światłości: korytarzowy; Napięcie: 230V AC; Moc w trybie awaryjnym: 1.00W; Stopień ochrony IP: IP65;; Wymiary: wysokość: </w:t>
            </w:r>
            <w:r w:rsidR="008875F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do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  <w:r w:rsidR="008875FA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mm,; Zakres dopuszczalnych temperatur otoczenia: od 0°C do 25°C; Temperatura pracy: 25°C; </w:t>
            </w:r>
          </w:p>
          <w:p w:rsidR="00BF3410" w:rsidRPr="00167FCE" w:rsidRDefault="00167FCE" w:rsidP="00167FC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Możliwość kablowania</w:t>
            </w:r>
            <w:r w:rsidRPr="00167FC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przelotowe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go.</w:t>
            </w:r>
          </w:p>
          <w:p w:rsidR="00167FCE" w:rsidRDefault="00167FCE" w:rsidP="00167FCE">
            <w:pPr>
              <w:rPr>
                <w:sz w:val="18"/>
                <w:szCs w:val="18"/>
              </w:rPr>
            </w:pPr>
            <w:r w:rsidRPr="00167FCE">
              <w:rPr>
                <w:rFonts w:ascii="Calibri" w:hAnsi="Calibri" w:cs="Calibri"/>
                <w:color w:val="000000"/>
                <w:sz w:val="16"/>
                <w:szCs w:val="16"/>
              </w:rPr>
              <w:t>Żywotnoś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ć</w:t>
            </w:r>
            <w:r w:rsidRPr="00167FC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: co najmniej 100 000 godzin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jc w:val="center"/>
              <w:rPr>
                <w:color w:val="000000"/>
                <w:kern w:val="2"/>
                <w:sz w:val="18"/>
                <w:szCs w:val="18"/>
              </w:rPr>
            </w:pPr>
            <w:r>
              <w:rPr>
                <w:color w:val="000000"/>
                <w:kern w:val="2"/>
                <w:sz w:val="18"/>
                <w:szCs w:val="18"/>
              </w:rPr>
              <w:t>26</w:t>
            </w:r>
          </w:p>
        </w:tc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jc w:val="right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jc w:val="center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jc w:val="center"/>
              <w:rPr>
                <w:color w:val="000000"/>
                <w:kern w:val="2"/>
                <w:sz w:val="18"/>
                <w:szCs w:val="18"/>
              </w:rPr>
            </w:pPr>
          </w:p>
        </w:tc>
      </w:tr>
      <w:tr w:rsidR="00FA47D9" w:rsidTr="00FA47D9">
        <w:trPr>
          <w:trHeight w:val="118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pStyle w:val="Lista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8875FA" w:rsidRDefault="00FA47D9" w:rsidP="008875F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Nastropowa oprawa do oświetlenia awaryjnego-ewakuacyjnego i antypanicznego zgodnie z normami EN 1838, EN 50172, ewakuacyjne oświetlenie awaryjne zgodne z normą EN 60598-2-22. Szczelna obudowa do pracy w warunkach trudnych. Rodzaj oprawy: Ewakuacyjne z własnym zasilaniem; Strumień świetlny w trybie awaryjnym (PELF): 410lm; EBLF: 100.00; System pracy ośw. awaryjnego: ATI; Czas autonomii: 3h; Tryb pracy: TC; Standardowe odchylenie dopasowania kolorów (SDCM): SDCM &lt;3; Ogólny wskaźnik oddawania barw (Ra): &gt;70; </w:t>
            </w:r>
            <w:r w:rsidR="008875F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Sposób rozsyłu światłości: soczewkowy; Materiał soczewki: PMMA; Konstrukcja soczewki: pojedyncza; Materiał dyfuzora: PC; Rodzaj dyfuzora: bezbarwny, Materiał obudowy: PC, Geometria rozsyłu światłości: korytarzowy; Napięcie: 230V AC; Moc w trybie awaryjnym: 1.00W; Stopień ochrony IP: IP65;; Wymiary: wysokość: do 45mm,; Zakres dopuszczalnych temperatur otoczenia: od 0°C do 25°C; Temperatura pracy: 25°C;  </w:t>
            </w:r>
          </w:p>
          <w:p w:rsidR="008875FA" w:rsidRPr="00167FCE" w:rsidRDefault="008875FA" w:rsidP="008875F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Możliwość kablowania</w:t>
            </w:r>
            <w:r w:rsidRPr="00167FC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przelotowe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go.</w:t>
            </w:r>
          </w:p>
          <w:p w:rsidR="00FA47D9" w:rsidRDefault="008875FA" w:rsidP="008875FA">
            <w:pPr>
              <w:rPr>
                <w:sz w:val="18"/>
                <w:szCs w:val="18"/>
              </w:rPr>
            </w:pPr>
            <w:r w:rsidRPr="00167FCE">
              <w:rPr>
                <w:rFonts w:ascii="Calibri" w:hAnsi="Calibri" w:cs="Calibri"/>
                <w:color w:val="000000"/>
                <w:sz w:val="16"/>
                <w:szCs w:val="16"/>
              </w:rPr>
              <w:t>Żywotnoś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ć</w:t>
            </w:r>
            <w:r w:rsidRPr="00167FC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: co najmniej 100 000 godzin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AE4710">
            <w:pPr>
              <w:jc w:val="center"/>
              <w:rPr>
                <w:color w:val="000000"/>
                <w:kern w:val="2"/>
                <w:sz w:val="18"/>
                <w:szCs w:val="18"/>
              </w:rPr>
            </w:pPr>
            <w:r>
              <w:rPr>
                <w:color w:val="000000"/>
                <w:kern w:val="2"/>
                <w:sz w:val="18"/>
                <w:szCs w:val="18"/>
              </w:rPr>
              <w:t>6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jc w:val="right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jc w:val="center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jc w:val="center"/>
              <w:rPr>
                <w:color w:val="000000"/>
                <w:kern w:val="2"/>
                <w:sz w:val="18"/>
                <w:szCs w:val="18"/>
              </w:rPr>
            </w:pPr>
          </w:p>
        </w:tc>
      </w:tr>
      <w:tr w:rsidR="00FA47D9" w:rsidTr="00FA47D9">
        <w:trPr>
          <w:trHeight w:val="118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pStyle w:val="Lista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 w:rsidP="008875F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Nastropowa oprawa do oświetlenia awaryjnego-ewakuacyjnego i antypanicznego zgodnie z normami EN 1838, EN 50172, ewakuacyjne oświetlenie awaryjne zgodne z normą EN 60598-2-22. Szczelna obudowa do pracy w warunkach trudnych. Rodzaj oprawy: Ewakuacyjne z własnym zasilaniem; Strumień świetlny w trybie awaryjnym (PELF): 180lm; EBLF: 100.00; System pracy ośw. awaryjnego: ATI; Czas autonomii: 3h Tryb pracy: TC; Standardowe odchylenie dopasowania kolorów (SDCM): SDCM &lt;3; Ogólny wskaźnik oddawania barw (Ra): &gt;70; Sposób rozsyłu światłości: </w:t>
            </w:r>
            <w:r w:rsidR="008875FA">
              <w:rPr>
                <w:rFonts w:ascii="Calibri" w:hAnsi="Calibri" w:cs="Calibri"/>
                <w:color w:val="000000"/>
                <w:sz w:val="16"/>
                <w:szCs w:val="16"/>
              </w:rPr>
              <w:t>soczewkowy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; Geometria rozsyłu światłości: antypaniczny; Napięcie: 230V AC; Moc w trybie awaryjnym: 1.00W; Stopień ochrony IP: IP65; Materiał soczewki: PMMA; Konstrukcja soczewki: pojedyncza; Materiał dyfuzora: PC; Rodzaj dyfuzora: bezbarwny; Materiał obudowy: PC; Wymiary: wysokość: </w:t>
            </w:r>
            <w:r w:rsidR="008875F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do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  <w:r w:rsidR="008875FA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mm,  Zakres dopuszczalnych temperatur otoczenia: od 0°C do 25°C; Temperatura pracy: 25°C; </w:t>
            </w:r>
          </w:p>
          <w:p w:rsidR="008875FA" w:rsidRPr="00167FCE" w:rsidRDefault="008875FA" w:rsidP="008875F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Możliwość kablowania</w:t>
            </w:r>
            <w:r w:rsidRPr="00167FC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przelotowe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go.</w:t>
            </w:r>
          </w:p>
          <w:p w:rsidR="008875FA" w:rsidRDefault="008875FA" w:rsidP="008875F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FCE">
              <w:rPr>
                <w:rFonts w:ascii="Calibri" w:hAnsi="Calibri" w:cs="Calibri"/>
                <w:color w:val="000000"/>
                <w:sz w:val="16"/>
                <w:szCs w:val="16"/>
              </w:rPr>
              <w:t>Żywotnoś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ć</w:t>
            </w:r>
            <w:r w:rsidRPr="00167FC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: co najmniej 100 000 godzin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AE4710">
            <w:pPr>
              <w:jc w:val="center"/>
              <w:rPr>
                <w:color w:val="000000"/>
                <w:kern w:val="2"/>
                <w:sz w:val="18"/>
                <w:szCs w:val="18"/>
              </w:rPr>
            </w:pPr>
            <w:r>
              <w:rPr>
                <w:color w:val="000000"/>
                <w:kern w:val="2"/>
                <w:sz w:val="18"/>
                <w:szCs w:val="18"/>
              </w:rPr>
              <w:t>24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jc w:val="right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jc w:val="center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jc w:val="center"/>
              <w:rPr>
                <w:color w:val="000000"/>
                <w:kern w:val="2"/>
                <w:sz w:val="18"/>
                <w:szCs w:val="18"/>
              </w:rPr>
            </w:pPr>
          </w:p>
        </w:tc>
      </w:tr>
      <w:tr w:rsidR="00FA47D9" w:rsidTr="00FA47D9">
        <w:trPr>
          <w:trHeight w:val="118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pStyle w:val="Lista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8875FA" w:rsidRDefault="00FA47D9" w:rsidP="008875F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Nastropowa oprawa do oświetlenia awaryjnego-ewakuacyjnego i antypanicznego zgodnie z normami EN 1838, EN 50172, ewakuacyjne oświetlenie awaryjne zgodne z normą EN 60598-2-22. Szczelna obudowa do pracy w warunkach trudnych. Rodzaj oprawy: Ewakuacyjne z własnym zasilaniem; Strumień świetlny w trybie awaryjnym (PELF): 420lm; EBLF: 100.00; System pracy ośw. awaryjnego: ATI; Czas autonomii: 3h; Tryb pracy: TC; Standardowe odchylenie dopasowania kolorów (SDCM): SDCM &lt;3; Ogólny wskaźnik oddawania barw (Ra): &gt;70; Sposób rozsyłu światłości: </w:t>
            </w:r>
            <w:r w:rsidR="008875F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soczewkowy; Geometria rozsyłu światłości: antypaniczny; Napięcie: 230V AC; Moc w trybie awaryjnym: 1.00W; Stopień ochrony IP: IP65; Materiał soczewki: PMMA; Konstrukcja soczewki: pojedyncza; Materiał dyfuzora: PC; Rodzaj dyfuzora: bezbarwny; Materiał obudowy: PC; Wymiary: wysokość: do 45mm,  Zakres dopuszczalnych temperatur otoczenia: od 0°C do 25°C; Temperatura pracy: 25°C; </w:t>
            </w:r>
          </w:p>
          <w:p w:rsidR="008875FA" w:rsidRPr="00167FCE" w:rsidRDefault="008875FA" w:rsidP="008875F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Możliwość kablowania</w:t>
            </w:r>
            <w:r w:rsidRPr="00167FC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przelotowe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go.</w:t>
            </w:r>
          </w:p>
          <w:p w:rsidR="00FA47D9" w:rsidRDefault="008875FA" w:rsidP="008875F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67FCE">
              <w:rPr>
                <w:rFonts w:ascii="Calibri" w:hAnsi="Calibri" w:cs="Calibri"/>
                <w:color w:val="000000"/>
                <w:sz w:val="16"/>
                <w:szCs w:val="16"/>
              </w:rPr>
              <w:t>Żywotnoś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ć</w:t>
            </w:r>
            <w:r w:rsidRPr="00167FC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: co najmniej 100 000 godzin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  <w:bookmarkStart w:id="0" w:name="_GoBack"/>
            <w:bookmarkEnd w:id="0"/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FA47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47D9" w:rsidRDefault="00AE4710">
            <w:pPr>
              <w:jc w:val="center"/>
              <w:rPr>
                <w:color w:val="000000"/>
                <w:kern w:val="2"/>
                <w:sz w:val="18"/>
                <w:szCs w:val="18"/>
              </w:rPr>
            </w:pPr>
            <w:r>
              <w:rPr>
                <w:color w:val="000000"/>
                <w:kern w:val="2"/>
                <w:sz w:val="18"/>
                <w:szCs w:val="18"/>
              </w:rPr>
              <w:t>39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jc w:val="right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jc w:val="center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47D9" w:rsidRDefault="00FA47D9">
            <w:pPr>
              <w:snapToGrid w:val="0"/>
              <w:jc w:val="center"/>
              <w:rPr>
                <w:color w:val="000000"/>
                <w:kern w:val="2"/>
                <w:sz w:val="18"/>
                <w:szCs w:val="18"/>
              </w:rPr>
            </w:pPr>
          </w:p>
        </w:tc>
      </w:tr>
      <w:tr w:rsidR="00377AA6" w:rsidTr="00FA47D9">
        <w:trPr>
          <w:trHeight w:val="118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77AA6" w:rsidRDefault="00377AA6">
            <w:pPr>
              <w:pStyle w:val="Lista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77AA6" w:rsidRDefault="00377AA6" w:rsidP="00FA47D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RAZEM: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77AA6" w:rsidRDefault="00377A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77AA6" w:rsidRDefault="00377AA6">
            <w:pPr>
              <w:jc w:val="center"/>
              <w:rPr>
                <w:color w:val="000000"/>
                <w:kern w:val="2"/>
                <w:sz w:val="18"/>
                <w:szCs w:val="18"/>
              </w:rPr>
            </w:pPr>
            <w:r>
              <w:rPr>
                <w:color w:val="000000"/>
                <w:kern w:val="2"/>
                <w:sz w:val="18"/>
                <w:szCs w:val="18"/>
              </w:rPr>
              <w:t>x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77AA6" w:rsidRDefault="00377AA6">
            <w:pPr>
              <w:snapToGrid w:val="0"/>
              <w:jc w:val="right"/>
              <w:rPr>
                <w:color w:val="000000"/>
                <w:kern w:val="2"/>
                <w:sz w:val="18"/>
                <w:szCs w:val="18"/>
              </w:rPr>
            </w:pPr>
            <w:r>
              <w:rPr>
                <w:color w:val="000000"/>
                <w:kern w:val="2"/>
                <w:sz w:val="18"/>
                <w:szCs w:val="18"/>
              </w:rPr>
              <w:t>x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77AA6" w:rsidRDefault="00377AA6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77AA6" w:rsidRDefault="00377AA6">
            <w:pPr>
              <w:snapToGrid w:val="0"/>
              <w:jc w:val="center"/>
              <w:rPr>
                <w:color w:val="000000"/>
                <w:kern w:val="2"/>
                <w:sz w:val="18"/>
                <w:szCs w:val="18"/>
              </w:rPr>
            </w:pPr>
            <w:r>
              <w:rPr>
                <w:color w:val="000000"/>
                <w:kern w:val="2"/>
                <w:sz w:val="18"/>
                <w:szCs w:val="18"/>
              </w:rPr>
              <w:t>x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77AA6" w:rsidRDefault="00377AA6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77AA6" w:rsidRDefault="00377AA6">
            <w:pPr>
              <w:snapToGrid w:val="0"/>
              <w:rPr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7AA6" w:rsidRDefault="00377AA6">
            <w:pPr>
              <w:snapToGrid w:val="0"/>
              <w:jc w:val="center"/>
              <w:rPr>
                <w:color w:val="000000"/>
                <w:kern w:val="2"/>
                <w:sz w:val="18"/>
                <w:szCs w:val="18"/>
              </w:rPr>
            </w:pPr>
            <w:r>
              <w:rPr>
                <w:color w:val="000000"/>
                <w:kern w:val="2"/>
                <w:sz w:val="18"/>
                <w:szCs w:val="18"/>
              </w:rPr>
              <w:t>x</w:t>
            </w:r>
          </w:p>
        </w:tc>
      </w:tr>
    </w:tbl>
    <w:p w:rsidR="001D6323" w:rsidRDefault="001D6323"/>
    <w:sectPr w:rsidR="001D6323" w:rsidSect="00FA47D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drawingGridHorizontalSpacing w:val="110"/>
  <w:displayHorizontalDrawingGridEvery w:val="2"/>
  <w:characterSpacingControl w:val="doNotCompress"/>
  <w:compat/>
  <w:rsids>
    <w:rsidRoot w:val="00FA47D9"/>
    <w:rsid w:val="00167FCE"/>
    <w:rsid w:val="001D6323"/>
    <w:rsid w:val="002A0297"/>
    <w:rsid w:val="00377AA6"/>
    <w:rsid w:val="005176EB"/>
    <w:rsid w:val="008875FA"/>
    <w:rsid w:val="008A3A54"/>
    <w:rsid w:val="00A6030B"/>
    <w:rsid w:val="00AE4710"/>
    <w:rsid w:val="00BC54B9"/>
    <w:rsid w:val="00BF3410"/>
    <w:rsid w:val="00C92CDC"/>
    <w:rsid w:val="00EB6A8B"/>
    <w:rsid w:val="00F100BF"/>
    <w:rsid w:val="00FA47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7D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unhideWhenUsed/>
    <w:rsid w:val="00FA47D9"/>
    <w:pPr>
      <w:spacing w:after="120"/>
    </w:pPr>
    <w:rPr>
      <w:rFonts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7D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unhideWhenUsed/>
    <w:rsid w:val="00FA47D9"/>
    <w:pPr>
      <w:spacing w:after="120"/>
    </w:pPr>
    <w:rPr>
      <w:rFonts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617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2</cp:revision>
  <dcterms:created xsi:type="dcterms:W3CDTF">2022-12-07T11:25:00Z</dcterms:created>
  <dcterms:modified xsi:type="dcterms:W3CDTF">2022-12-07T11:25:00Z</dcterms:modified>
</cp:coreProperties>
</file>