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3D" w:rsidRPr="00B85C3D" w:rsidRDefault="00B85C3D" w:rsidP="00B85C3D">
      <w:pPr>
        <w:tabs>
          <w:tab w:val="left" w:pos="1920"/>
        </w:tabs>
        <w:rPr>
          <w:rFonts w:ascii="Garamond" w:hAnsi="Garamond" w:cs="Arial"/>
          <w:b/>
          <w:bCs/>
          <w:sz w:val="22"/>
          <w:szCs w:val="22"/>
        </w:rPr>
      </w:pPr>
      <w:r w:rsidRPr="00B85C3D">
        <w:rPr>
          <w:rFonts w:ascii="Garamond" w:hAnsi="Garamond" w:cs="Arial"/>
          <w:b/>
          <w:bCs/>
          <w:sz w:val="22"/>
          <w:szCs w:val="22"/>
        </w:rPr>
        <w:t xml:space="preserve">FORMULARZ   CENOWY                                                                                 </w:t>
      </w:r>
      <w:r w:rsidRPr="00B85C3D">
        <w:rPr>
          <w:rFonts w:ascii="Garamond" w:hAnsi="Garamond" w:cs="Arial"/>
          <w:bCs/>
          <w:sz w:val="22"/>
          <w:szCs w:val="22"/>
        </w:rPr>
        <w:t xml:space="preserve">załącznik nr 2 do </w:t>
      </w:r>
      <w:proofErr w:type="spellStart"/>
      <w:r w:rsidRPr="00B85C3D">
        <w:rPr>
          <w:rFonts w:ascii="Garamond" w:hAnsi="Garamond" w:cs="Arial"/>
          <w:bCs/>
          <w:sz w:val="22"/>
          <w:szCs w:val="22"/>
        </w:rPr>
        <w:t>siwz</w:t>
      </w:r>
      <w:proofErr w:type="spellEnd"/>
    </w:p>
    <w:p w:rsidR="00B85C3D" w:rsidRPr="00B85C3D" w:rsidRDefault="00B85C3D" w:rsidP="00B85C3D">
      <w:pPr>
        <w:tabs>
          <w:tab w:val="left" w:pos="1920"/>
        </w:tabs>
        <w:rPr>
          <w:rFonts w:ascii="Garamond" w:hAnsi="Garamond"/>
          <w:sz w:val="22"/>
          <w:szCs w:val="22"/>
        </w:rPr>
      </w:pPr>
      <w:r w:rsidRPr="00B85C3D">
        <w:rPr>
          <w:rFonts w:ascii="Garamond" w:hAnsi="Garamond"/>
          <w:sz w:val="22"/>
          <w:szCs w:val="22"/>
        </w:rPr>
        <w:t xml:space="preserve">Testy do wykrywania </w:t>
      </w:r>
      <w:proofErr w:type="spellStart"/>
      <w:r w:rsidRPr="00B85C3D">
        <w:rPr>
          <w:rFonts w:ascii="Garamond" w:hAnsi="Garamond"/>
          <w:sz w:val="22"/>
          <w:szCs w:val="22"/>
        </w:rPr>
        <w:t>SARS-CoV</w:t>
      </w:r>
      <w:proofErr w:type="spellEnd"/>
    </w:p>
    <w:tbl>
      <w:tblPr>
        <w:tblW w:w="14585" w:type="dxa"/>
        <w:tblInd w:w="3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1"/>
        <w:gridCol w:w="4800"/>
        <w:gridCol w:w="615"/>
        <w:gridCol w:w="750"/>
        <w:gridCol w:w="1260"/>
        <w:gridCol w:w="945"/>
        <w:gridCol w:w="765"/>
        <w:gridCol w:w="990"/>
        <w:gridCol w:w="1125"/>
        <w:gridCol w:w="2394"/>
      </w:tblGrid>
      <w:tr w:rsidR="00B85C3D" w:rsidRPr="00B85C3D" w:rsidTr="0009377B">
        <w:trPr>
          <w:trHeight w:val="795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Opis przedmiotu zamówienia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  </w:t>
            </w:r>
            <w:proofErr w:type="spellStart"/>
            <w:r w:rsidRPr="00B85C3D">
              <w:rPr>
                <w:rFonts w:ascii="Garamond" w:hAnsi="Garamond" w:cs="Arial"/>
                <w:sz w:val="22"/>
                <w:szCs w:val="22"/>
              </w:rPr>
              <w:t>Jm</w:t>
            </w:r>
            <w:proofErr w:type="spellEnd"/>
            <w:r w:rsidRPr="00B85C3D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Ilość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Wartość netto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% </w:t>
            </w:r>
            <w:proofErr w:type="spellStart"/>
            <w:r w:rsidRPr="00B85C3D">
              <w:rPr>
                <w:rFonts w:ascii="Garamond" w:hAnsi="Garamond" w:cs="Arial"/>
                <w:sz w:val="22"/>
                <w:szCs w:val="22"/>
              </w:rPr>
              <w:t>Vat</w:t>
            </w:r>
            <w:proofErr w:type="spellEnd"/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Wartość </w:t>
            </w:r>
            <w:proofErr w:type="spellStart"/>
            <w:r w:rsidRPr="00B85C3D">
              <w:rPr>
                <w:rFonts w:ascii="Garamond" w:hAnsi="Garamond" w:cs="Arial"/>
                <w:sz w:val="22"/>
                <w:szCs w:val="22"/>
              </w:rPr>
              <w:t>Vat</w:t>
            </w:r>
            <w:proofErr w:type="spellEnd"/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Wartość brutto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Nazwa handlowa/zaoferowane opakowanie</w:t>
            </w:r>
          </w:p>
        </w:tc>
      </w:tr>
      <w:tr w:rsidR="00B85C3D" w:rsidRPr="00B85C3D" w:rsidTr="0009377B">
        <w:trPr>
          <w:trHeight w:val="255"/>
        </w:trPr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8</w:t>
            </w:r>
          </w:p>
        </w:tc>
        <w:tc>
          <w:tcPr>
            <w:tcW w:w="112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9</w:t>
            </w:r>
          </w:p>
        </w:tc>
        <w:tc>
          <w:tcPr>
            <w:tcW w:w="239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10</w:t>
            </w:r>
          </w:p>
        </w:tc>
      </w:tr>
      <w:tr w:rsidR="00B85C3D" w:rsidRPr="00B85C3D" w:rsidTr="0009377B">
        <w:trPr>
          <w:trHeight w:val="480"/>
        </w:trPr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right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 w:rsidP="00B85C3D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Test kasetkowy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immunochromatograficzny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do wykrywania anty-SARS-CoV-2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IgG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i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IgM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w próbkach krwi pełnej, surowicy lub osocza.</w:t>
            </w:r>
          </w:p>
          <w:p w:rsidR="00B85C3D" w:rsidRPr="00B85C3D" w:rsidRDefault="00B85C3D" w:rsidP="00B85C3D">
            <w:pPr>
              <w:pStyle w:val="NormalnyWeb"/>
              <w:rPr>
                <w:rFonts w:ascii="Garamond" w:hAnsi="Garamond" w:cs="Arial"/>
                <w:lang w:eastAsia="ar-SA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>Zestaw zawierający : kasetki, kapilary, bufor.   Wynik w ciągu 10 minut. Czułość min. 94%, swoistość min. 99%. Wewnętrzna kontrola testu w postaci kolorowej lini</w:t>
            </w:r>
            <w:r w:rsidR="0009377B">
              <w:rPr>
                <w:rFonts w:ascii="Garamond" w:hAnsi="Garamond"/>
                <w:sz w:val="22"/>
                <w:szCs w:val="22"/>
              </w:rPr>
              <w:t>i</w:t>
            </w:r>
            <w:r w:rsidRPr="00B85C3D">
              <w:rPr>
                <w:rFonts w:ascii="Garamond" w:hAnsi="Garamond"/>
                <w:sz w:val="22"/>
                <w:szCs w:val="22"/>
              </w:rPr>
              <w:t xml:space="preserve">. 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1800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2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</w:tr>
      <w:tr w:rsidR="00B85C3D" w:rsidRPr="00B85C3D" w:rsidTr="0009377B">
        <w:trPr>
          <w:trHeight w:val="465"/>
        </w:trPr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right"/>
              <w:rPr>
                <w:rFonts w:ascii="Garamond" w:hAnsi="Garamond" w:cs="Arial"/>
                <w:lang w:val="en-US"/>
              </w:rPr>
            </w:pPr>
            <w:r>
              <w:rPr>
                <w:rFonts w:ascii="Garamond" w:hAnsi="Garamond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Test wykrywający antygen SARS-CoV-2 z wymazu z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nosogardzieli</w:t>
            </w:r>
            <w:proofErr w:type="spellEnd"/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- Metoda kasetkowa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immunochromatograficzna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>, bez konieczności użycia czytnika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- W zestawie: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wymazówki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kłaczkowe do poboru z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nosogardzieli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>, kontrola dodatnia i ujemna, statyw na probówki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>- Czułość względem PCR: min. 93%, swoistość: min. 9</w:t>
            </w:r>
            <w:r w:rsidR="0045004C">
              <w:rPr>
                <w:rFonts w:ascii="Garamond" w:hAnsi="Garamond"/>
                <w:sz w:val="22"/>
                <w:szCs w:val="22"/>
              </w:rPr>
              <w:t>9,4</w:t>
            </w:r>
            <w:r w:rsidRPr="00B85C3D">
              <w:rPr>
                <w:rFonts w:ascii="Garamond" w:hAnsi="Garamond"/>
                <w:sz w:val="22"/>
                <w:szCs w:val="22"/>
              </w:rPr>
              <w:t>%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- Czułość dla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Ct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≤33 minimum 98%.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>- Możliwość odczytu wyniku po 15 minutach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- Brak konieczności wyjmowania </w:t>
            </w:r>
            <w:proofErr w:type="spellStart"/>
            <w:r w:rsidRPr="00B85C3D">
              <w:rPr>
                <w:rFonts w:ascii="Garamond" w:hAnsi="Garamond"/>
                <w:sz w:val="22"/>
                <w:szCs w:val="22"/>
              </w:rPr>
              <w:t>wymazówki</w:t>
            </w:r>
            <w:proofErr w:type="spellEnd"/>
            <w:r w:rsidRPr="00B85C3D">
              <w:rPr>
                <w:rFonts w:ascii="Garamond" w:hAnsi="Garamond"/>
                <w:sz w:val="22"/>
                <w:szCs w:val="22"/>
              </w:rPr>
              <w:t xml:space="preserve"> z próbką z probówki ekstrakcyjnej</w:t>
            </w:r>
          </w:p>
          <w:p w:rsidR="00B85C3D" w:rsidRPr="00B85C3D" w:rsidRDefault="00B85C3D" w:rsidP="0009377B">
            <w:pPr>
              <w:pStyle w:val="NormalnyWeb"/>
              <w:rPr>
                <w:rFonts w:ascii="Garamond" w:hAnsi="Garamond"/>
              </w:rPr>
            </w:pPr>
            <w:r w:rsidRPr="00B85C3D">
              <w:rPr>
                <w:rFonts w:ascii="Garamond" w:hAnsi="Garamond"/>
                <w:sz w:val="22"/>
                <w:szCs w:val="22"/>
              </w:rPr>
              <w:t xml:space="preserve">- Możliwość stosowania w dowolnym środowisku </w:t>
            </w:r>
            <w:r w:rsidRPr="00B85C3D">
              <w:rPr>
                <w:rFonts w:ascii="Garamond" w:hAnsi="Garamond"/>
                <w:sz w:val="22"/>
                <w:szCs w:val="22"/>
              </w:rPr>
              <w:lastRenderedPageBreak/>
              <w:t>laboratoryjnym i poza-laboratoryjnym</w:t>
            </w:r>
          </w:p>
          <w:p w:rsidR="00B85C3D" w:rsidRPr="00B85C3D" w:rsidRDefault="00B85C3D" w:rsidP="00B85C3D">
            <w:pPr>
              <w:pStyle w:val="NormalnyWeb"/>
              <w:rPr>
                <w:rFonts w:ascii="Garamond" w:hAnsi="Garamond" w:cs="Arial"/>
                <w:lang w:eastAsia="ar-SA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4.800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  <w:tc>
          <w:tcPr>
            <w:tcW w:w="2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</w:p>
        </w:tc>
      </w:tr>
      <w:tr w:rsidR="00B85C3D" w:rsidRPr="00B85C3D" w:rsidTr="0009377B">
        <w:trPr>
          <w:trHeight w:val="465"/>
        </w:trPr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lastRenderedPageBreak/>
              <w:t>Razem:</w:t>
            </w:r>
          </w:p>
        </w:tc>
        <w:tc>
          <w:tcPr>
            <w:tcW w:w="480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xxx</w:t>
            </w: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xxx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xxx</w:t>
            </w:r>
          </w:p>
        </w:tc>
        <w:tc>
          <w:tcPr>
            <w:tcW w:w="94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    xxx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</w:tcPr>
          <w:p w:rsidR="00B85C3D" w:rsidRPr="00B85C3D" w:rsidRDefault="00B85C3D">
            <w:pPr>
              <w:snapToGrid w:val="0"/>
              <w:jc w:val="center"/>
              <w:rPr>
                <w:rFonts w:ascii="Garamond" w:hAnsi="Garamond" w:cs="Arial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 w:cs="Arial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239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85C3D" w:rsidRPr="00B85C3D" w:rsidRDefault="00B85C3D">
            <w:pPr>
              <w:snapToGrid w:val="0"/>
              <w:rPr>
                <w:rFonts w:ascii="Garamond" w:hAnsi="Garamond"/>
              </w:rPr>
            </w:pPr>
            <w:r w:rsidRPr="00B85C3D">
              <w:rPr>
                <w:rFonts w:ascii="Garamond" w:hAnsi="Garamond" w:cs="Arial"/>
                <w:sz w:val="22"/>
                <w:szCs w:val="22"/>
              </w:rPr>
              <w:t xml:space="preserve">      xxx</w:t>
            </w:r>
          </w:p>
        </w:tc>
      </w:tr>
    </w:tbl>
    <w:p w:rsidR="00B85C3D" w:rsidRPr="00B85C3D" w:rsidRDefault="00B85C3D" w:rsidP="00B85C3D">
      <w:pPr>
        <w:rPr>
          <w:rFonts w:ascii="Garamond" w:hAnsi="Garamond" w:cs="Arial"/>
          <w:sz w:val="22"/>
          <w:szCs w:val="22"/>
        </w:rPr>
      </w:pPr>
    </w:p>
    <w:p w:rsidR="00B85C3D" w:rsidRPr="00B85C3D" w:rsidRDefault="00B85C3D" w:rsidP="00B85C3D">
      <w:pPr>
        <w:rPr>
          <w:rFonts w:ascii="Garamond" w:hAnsi="Garamond" w:cs="Arial"/>
          <w:sz w:val="22"/>
          <w:szCs w:val="22"/>
        </w:rPr>
      </w:pPr>
    </w:p>
    <w:p w:rsidR="00B85C3D" w:rsidRPr="00B85C3D" w:rsidRDefault="00B85C3D" w:rsidP="00B85C3D">
      <w:pPr>
        <w:rPr>
          <w:rFonts w:ascii="Garamond" w:hAnsi="Garamond"/>
          <w:sz w:val="22"/>
          <w:szCs w:val="22"/>
        </w:rPr>
      </w:pPr>
      <w:r w:rsidRPr="00B85C3D">
        <w:rPr>
          <w:rFonts w:ascii="Garamond" w:hAnsi="Garamond"/>
          <w:sz w:val="22"/>
          <w:szCs w:val="22"/>
        </w:rPr>
        <w:t>SŁOWNIE WARTOŚĆ BRUTTO:</w:t>
      </w:r>
    </w:p>
    <w:p w:rsidR="00B85C3D" w:rsidRPr="00B85C3D" w:rsidRDefault="00B85C3D" w:rsidP="00B85C3D">
      <w:pPr>
        <w:rPr>
          <w:rFonts w:ascii="Garamond" w:hAnsi="Garamond"/>
          <w:sz w:val="22"/>
          <w:szCs w:val="22"/>
        </w:rPr>
      </w:pPr>
    </w:p>
    <w:p w:rsidR="00B85C3D" w:rsidRPr="00B85C3D" w:rsidRDefault="00B85C3D" w:rsidP="00B85C3D">
      <w:pPr>
        <w:rPr>
          <w:rFonts w:ascii="Garamond" w:hAnsi="Garamond"/>
          <w:sz w:val="22"/>
          <w:szCs w:val="22"/>
        </w:rPr>
      </w:pPr>
      <w:r w:rsidRPr="00B85C3D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</w:t>
      </w:r>
    </w:p>
    <w:p w:rsidR="00B85C3D" w:rsidRPr="00B85C3D" w:rsidRDefault="00B85C3D" w:rsidP="00B85C3D">
      <w:pPr>
        <w:rPr>
          <w:rFonts w:ascii="Garamond" w:hAnsi="Garamond" w:cs="Arial"/>
          <w:b/>
          <w:bCs/>
          <w:sz w:val="22"/>
          <w:szCs w:val="22"/>
        </w:rPr>
      </w:pPr>
      <w:r w:rsidRPr="00B85C3D">
        <w:rPr>
          <w:rFonts w:ascii="Garamond" w:hAnsi="Garamond"/>
          <w:sz w:val="22"/>
          <w:szCs w:val="22"/>
        </w:rPr>
        <w:t xml:space="preserve">Data i podpis: </w:t>
      </w:r>
    </w:p>
    <w:p w:rsidR="00C400A2" w:rsidRPr="00B85C3D" w:rsidRDefault="00C400A2">
      <w:pPr>
        <w:rPr>
          <w:rFonts w:ascii="Garamond" w:hAnsi="Garamond"/>
          <w:sz w:val="22"/>
          <w:szCs w:val="22"/>
        </w:rPr>
      </w:pPr>
    </w:p>
    <w:sectPr w:rsidR="00C400A2" w:rsidRPr="00B85C3D" w:rsidSect="00B85C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85C3D"/>
    <w:rsid w:val="0009377B"/>
    <w:rsid w:val="0045004C"/>
    <w:rsid w:val="00B47F7C"/>
    <w:rsid w:val="00B85C3D"/>
    <w:rsid w:val="00C4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85C3D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2020-10-01T07:25:00Z</dcterms:created>
  <dcterms:modified xsi:type="dcterms:W3CDTF">2020-10-01T08:32:00Z</dcterms:modified>
</cp:coreProperties>
</file>