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E1" w:rsidRPr="00EF643B" w:rsidRDefault="008B1154" w:rsidP="00100FE1">
      <w:pPr>
        <w:pStyle w:val="NormalnyWeb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Lubaczów, </w:t>
      </w:r>
      <w:r w:rsidR="005603D1">
        <w:rPr>
          <w:sz w:val="22"/>
          <w:szCs w:val="22"/>
        </w:rPr>
        <w:t>03.09.2020</w:t>
      </w:r>
    </w:p>
    <w:p w:rsidR="00100FE1" w:rsidRPr="00EF643B" w:rsidRDefault="00100FE1" w:rsidP="00100FE1">
      <w:pPr>
        <w:pStyle w:val="NormalnyWeb"/>
        <w:spacing w:before="0" w:after="0"/>
        <w:jc w:val="both"/>
        <w:rPr>
          <w:sz w:val="22"/>
          <w:szCs w:val="22"/>
        </w:rPr>
      </w:pPr>
    </w:p>
    <w:p w:rsidR="00100FE1" w:rsidRPr="00EF643B" w:rsidRDefault="00100FE1" w:rsidP="00100FE1">
      <w:pPr>
        <w:pStyle w:val="NormalnyWeb"/>
        <w:spacing w:before="0" w:after="0"/>
        <w:rPr>
          <w:b/>
          <w:sz w:val="22"/>
          <w:szCs w:val="22"/>
        </w:rPr>
      </w:pPr>
      <w:r w:rsidRPr="00EF643B">
        <w:rPr>
          <w:b/>
          <w:sz w:val="22"/>
          <w:szCs w:val="22"/>
        </w:rPr>
        <w:t>ZP.261.</w:t>
      </w:r>
      <w:r w:rsidR="008135B4">
        <w:rPr>
          <w:b/>
          <w:sz w:val="22"/>
          <w:szCs w:val="22"/>
        </w:rPr>
        <w:t>7</w:t>
      </w:r>
      <w:r w:rsidRPr="00EF643B">
        <w:rPr>
          <w:b/>
          <w:sz w:val="22"/>
          <w:szCs w:val="22"/>
        </w:rPr>
        <w:t>.20</w:t>
      </w:r>
      <w:r w:rsidR="008135B4">
        <w:rPr>
          <w:b/>
          <w:sz w:val="22"/>
          <w:szCs w:val="22"/>
        </w:rPr>
        <w:t>20</w:t>
      </w:r>
    </w:p>
    <w:p w:rsidR="00100FE1" w:rsidRPr="00EF643B" w:rsidRDefault="00100FE1" w:rsidP="00100FE1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:rsidR="00100FE1" w:rsidRPr="00EF643B" w:rsidRDefault="00100FE1" w:rsidP="00100FE1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:rsidR="00100FE1" w:rsidRPr="00EF643B" w:rsidRDefault="00100FE1" w:rsidP="00100FE1">
      <w:pPr>
        <w:pStyle w:val="NormalnyWeb"/>
        <w:spacing w:before="0" w:after="0"/>
        <w:jc w:val="center"/>
        <w:rPr>
          <w:b/>
          <w:sz w:val="22"/>
          <w:szCs w:val="22"/>
        </w:rPr>
      </w:pPr>
      <w:r w:rsidRPr="00EF643B">
        <w:rPr>
          <w:b/>
          <w:sz w:val="22"/>
          <w:szCs w:val="22"/>
        </w:rPr>
        <w:t>Wszyscy uczestnicy postępowania</w:t>
      </w:r>
    </w:p>
    <w:p w:rsidR="00100FE1" w:rsidRPr="00EF643B" w:rsidRDefault="00100FE1" w:rsidP="00100FE1">
      <w:pPr>
        <w:pStyle w:val="NormalnyWeb"/>
        <w:spacing w:before="0" w:after="0"/>
        <w:jc w:val="both"/>
        <w:rPr>
          <w:b/>
          <w:sz w:val="22"/>
          <w:szCs w:val="22"/>
          <w:u w:val="single"/>
        </w:rPr>
      </w:pPr>
    </w:p>
    <w:p w:rsidR="00100FE1" w:rsidRPr="00EF643B" w:rsidRDefault="00100FE1" w:rsidP="00100FE1">
      <w:pPr>
        <w:jc w:val="center"/>
        <w:rPr>
          <w:b/>
        </w:rPr>
      </w:pPr>
    </w:p>
    <w:p w:rsidR="00100FE1" w:rsidRPr="00EF643B" w:rsidRDefault="00100FE1" w:rsidP="00100FE1">
      <w:pPr>
        <w:jc w:val="center"/>
        <w:rPr>
          <w:b/>
        </w:rPr>
      </w:pPr>
      <w:r w:rsidRPr="00EF643B">
        <w:rPr>
          <w:b/>
        </w:rPr>
        <w:t>Wyjaśnienia</w:t>
      </w:r>
    </w:p>
    <w:p w:rsidR="00100FE1" w:rsidRPr="00EF643B" w:rsidRDefault="00100FE1" w:rsidP="00100FE1"/>
    <w:p w:rsidR="00100FE1" w:rsidRPr="00EF643B" w:rsidRDefault="00100FE1" w:rsidP="00100FE1">
      <w:pPr>
        <w:pStyle w:val="Tytu"/>
        <w:spacing w:line="360" w:lineRule="auto"/>
        <w:jc w:val="left"/>
        <w:rPr>
          <w:rFonts w:ascii="Times New Roman" w:eastAsia="TimesNewRomanPS-BoldMT" w:hAnsi="Times New Roman" w:cs="Times New Roman"/>
          <w:sz w:val="20"/>
          <w:szCs w:val="20"/>
        </w:rPr>
      </w:pPr>
      <w:r w:rsidRPr="00EF643B">
        <w:rPr>
          <w:rFonts w:ascii="Times New Roman" w:hAnsi="Times New Roman" w:cs="Times New Roman"/>
          <w:sz w:val="20"/>
          <w:szCs w:val="20"/>
        </w:rPr>
        <w:t>Dotyczy: przetargu nieograniczonego na d</w:t>
      </w:r>
      <w:r w:rsidRPr="00EF643B">
        <w:rPr>
          <w:rFonts w:ascii="Times New Roman" w:eastAsia="TimesNewRomanPS-BoldMT" w:hAnsi="Times New Roman" w:cs="Times New Roman"/>
          <w:sz w:val="20"/>
          <w:szCs w:val="20"/>
        </w:rPr>
        <w:t xml:space="preserve">ostawę produktów leczniczych, wyrobów medycznych  i innych </w:t>
      </w:r>
    </w:p>
    <w:p w:rsidR="00100FE1" w:rsidRPr="00EF643B" w:rsidRDefault="00100FE1" w:rsidP="00100FE1">
      <w:r w:rsidRPr="00EF643B">
        <w:t>W związku z otrzymanymi pytaniami wykonawców na podstawie art. 38 ust. 2 ustawy z dnia 29.01.2004 Prawo zamówień publicznych  Zamawiający Samodzielny Publiczny Zakład Opieki Zdrowotnej w Lubaczowie wyjaśnia:</w:t>
      </w:r>
    </w:p>
    <w:p w:rsidR="00100FE1" w:rsidRPr="00EF643B" w:rsidRDefault="00100FE1" w:rsidP="00100FE1"/>
    <w:p w:rsidR="005603D1" w:rsidRDefault="005603D1" w:rsidP="005603D1">
      <w:pPr>
        <w:pStyle w:val="Standard"/>
        <w:spacing w:line="360" w:lineRule="auto"/>
        <w:jc w:val="both"/>
        <w:rPr>
          <w:szCs w:val="24"/>
        </w:rPr>
      </w:pPr>
      <w:r>
        <w:rPr>
          <w:szCs w:val="24"/>
        </w:rPr>
        <w:t xml:space="preserve">1. </w:t>
      </w:r>
      <w:r w:rsidRPr="005603D1">
        <w:rPr>
          <w:szCs w:val="24"/>
        </w:rPr>
        <w:t xml:space="preserve">Czy Zamawiający wyrazi zgodę na wydzielenie z części nr 6 pozycji nr 20 – leku: </w:t>
      </w:r>
      <w:proofErr w:type="spellStart"/>
      <w:r w:rsidRPr="005603D1">
        <w:rPr>
          <w:szCs w:val="24"/>
        </w:rPr>
        <w:t>Dexdori</w:t>
      </w:r>
      <w:proofErr w:type="spellEnd"/>
      <w:r w:rsidRPr="005603D1">
        <w:rPr>
          <w:szCs w:val="24"/>
        </w:rPr>
        <w:t xml:space="preserve"> utworzy osobny pakiet z wydzielonej</w:t>
      </w:r>
      <w:r>
        <w:rPr>
          <w:szCs w:val="24"/>
        </w:rPr>
        <w:t xml:space="preserve"> </w:t>
      </w:r>
      <w:r w:rsidRPr="005603D1">
        <w:rPr>
          <w:szCs w:val="24"/>
        </w:rPr>
        <w:t xml:space="preserve">pozycji? Wydzielenie w/w pozycji pozwoli na zaoferowanie preparatu po bardzo korzystnej cenie oraz zwiększy znacząco konkurencję.  </w:t>
      </w:r>
    </w:p>
    <w:p w:rsidR="005603D1" w:rsidRDefault="005603D1" w:rsidP="005603D1">
      <w:pPr>
        <w:pStyle w:val="Standard"/>
        <w:spacing w:line="360" w:lineRule="auto"/>
        <w:jc w:val="both"/>
        <w:rPr>
          <w:szCs w:val="24"/>
        </w:rPr>
      </w:pPr>
      <w:r>
        <w:rPr>
          <w:szCs w:val="24"/>
        </w:rPr>
        <w:t xml:space="preserve">Odp.: Zgodnie z </w:t>
      </w:r>
      <w:proofErr w:type="spellStart"/>
      <w:r>
        <w:rPr>
          <w:szCs w:val="24"/>
        </w:rPr>
        <w:t>siwz</w:t>
      </w:r>
      <w:proofErr w:type="spellEnd"/>
    </w:p>
    <w:p w:rsidR="005603D1" w:rsidRDefault="005603D1" w:rsidP="005603D1">
      <w:pPr>
        <w:rPr>
          <w:lang w:eastAsia="pl-PL"/>
        </w:rPr>
      </w:pPr>
      <w:r>
        <w:t>2.</w:t>
      </w:r>
      <w:r w:rsidRPr="005603D1">
        <w:rPr>
          <w:lang w:eastAsia="pl-PL"/>
        </w:rPr>
        <w:t xml:space="preserve"> </w:t>
      </w:r>
      <w:r w:rsidRPr="005603D1">
        <w:rPr>
          <w:rFonts w:cs="Arial"/>
          <w:lang w:eastAsia="pl-PL"/>
        </w:rPr>
        <w:t xml:space="preserve">Czy Zamawiający w  pozycji  38 część 6  dopuści </w:t>
      </w:r>
      <w:proofErr w:type="spellStart"/>
      <w:r w:rsidRPr="005603D1">
        <w:rPr>
          <w:rFonts w:cs="Arial"/>
          <w:lang w:eastAsia="pl-PL"/>
        </w:rPr>
        <w:t>Citra</w:t>
      </w:r>
      <w:proofErr w:type="spellEnd"/>
      <w:r w:rsidRPr="005603D1">
        <w:rPr>
          <w:rFonts w:cs="Arial"/>
          <w:lang w:eastAsia="pl-PL"/>
        </w:rPr>
        <w:t xml:space="preserve"> Lock 4% w postaci bezigłowej</w:t>
      </w:r>
      <w:r w:rsidRPr="005603D1">
        <w:rPr>
          <w:rFonts w:cs="Arial"/>
          <w:iCs/>
          <w:lang w:eastAsia="pl-PL"/>
        </w:rPr>
        <w:t xml:space="preserve"> ampułki (fiolki)x 5ml  z systemem </w:t>
      </w:r>
      <w:proofErr w:type="spellStart"/>
      <w:r w:rsidRPr="005603D1">
        <w:rPr>
          <w:rFonts w:cs="Arial"/>
          <w:iCs/>
          <w:lang w:eastAsia="pl-PL"/>
        </w:rPr>
        <w:t>Luer</w:t>
      </w:r>
      <w:proofErr w:type="spellEnd"/>
      <w:r w:rsidRPr="005603D1">
        <w:rPr>
          <w:rFonts w:cs="Arial"/>
          <w:iCs/>
          <w:lang w:eastAsia="pl-PL"/>
        </w:rPr>
        <w:t xml:space="preserve"> Slip, </w:t>
      </w:r>
      <w:proofErr w:type="spellStart"/>
      <w:r w:rsidRPr="005603D1">
        <w:rPr>
          <w:rFonts w:cs="Arial"/>
          <w:iCs/>
          <w:lang w:eastAsia="pl-PL"/>
        </w:rPr>
        <w:t>Luer</w:t>
      </w:r>
      <w:proofErr w:type="spellEnd"/>
      <w:r w:rsidRPr="005603D1">
        <w:rPr>
          <w:rFonts w:cs="Arial"/>
          <w:iCs/>
          <w:lang w:eastAsia="pl-PL"/>
        </w:rPr>
        <w:t xml:space="preserve"> Lock skuteczność potwierdzona wieloma badaniami klinicznymi w porównaniu  do Heparyny, stosowany w celu utrzymania prawidłowej drożności cewnika i/lub portu dożylnego ograniczając krwawienia ( pacjenci z HIT ), stosowany  jako skuteczne i bezpieczne rozwiązanie przeciwzakrzepowe i przeciwbakteryjne?</w:t>
      </w:r>
      <w:r w:rsidRPr="005603D1">
        <w:rPr>
          <w:lang w:eastAsia="pl-PL"/>
        </w:rPr>
        <w:t xml:space="preserve"> </w:t>
      </w:r>
    </w:p>
    <w:p w:rsidR="005603D1" w:rsidRPr="005603D1" w:rsidRDefault="005603D1" w:rsidP="005603D1">
      <w:pPr>
        <w:rPr>
          <w:lang w:eastAsia="pl-PL"/>
        </w:rPr>
      </w:pPr>
      <w:r>
        <w:rPr>
          <w:lang w:eastAsia="pl-PL"/>
        </w:rPr>
        <w:t xml:space="preserve">Odp.: Zgodnie z </w:t>
      </w:r>
      <w:proofErr w:type="spellStart"/>
      <w:r>
        <w:rPr>
          <w:lang w:eastAsia="pl-PL"/>
        </w:rPr>
        <w:t>siwz</w:t>
      </w:r>
      <w:proofErr w:type="spellEnd"/>
    </w:p>
    <w:p w:rsidR="005603D1" w:rsidRDefault="005603D1" w:rsidP="005603D1">
      <w:pPr>
        <w:pStyle w:val="Standard"/>
        <w:spacing w:line="360" w:lineRule="auto"/>
        <w:jc w:val="both"/>
        <w:rPr>
          <w:rFonts w:cs="Arial"/>
          <w:iCs/>
          <w:szCs w:val="24"/>
          <w:lang w:eastAsia="pl-PL"/>
        </w:rPr>
      </w:pPr>
      <w:r>
        <w:rPr>
          <w:rFonts w:hAnsi="Symbol"/>
          <w:szCs w:val="24"/>
          <w:lang w:eastAsia="pl-PL"/>
        </w:rPr>
        <w:t xml:space="preserve">3. </w:t>
      </w:r>
      <w:r w:rsidRPr="005603D1">
        <w:rPr>
          <w:rFonts w:cs="Arial"/>
          <w:iCs/>
          <w:szCs w:val="24"/>
          <w:lang w:eastAsia="pl-PL"/>
        </w:rPr>
        <w:t>Czy Zamawiający dopuści produkt o pojemności 5 ml  pakowany po 20 szt. w kartonie z przeliczeniem zamawianej ilości?</w:t>
      </w:r>
      <w:r w:rsidRPr="005603D1">
        <w:rPr>
          <w:szCs w:val="24"/>
          <w:lang w:eastAsia="pl-PL"/>
        </w:rPr>
        <w:t xml:space="preserve"> </w:t>
      </w:r>
      <w:r w:rsidRPr="005603D1">
        <w:rPr>
          <w:rFonts w:cs="Arial"/>
          <w:iCs/>
          <w:szCs w:val="24"/>
          <w:lang w:eastAsia="pl-PL"/>
        </w:rPr>
        <w:t xml:space="preserve"> </w:t>
      </w:r>
    </w:p>
    <w:p w:rsidR="005603D1" w:rsidRDefault="005603D1" w:rsidP="005603D1">
      <w:pPr>
        <w:pStyle w:val="Standard"/>
        <w:spacing w:line="360" w:lineRule="auto"/>
        <w:jc w:val="both"/>
        <w:rPr>
          <w:rFonts w:cs="Arial"/>
          <w:iCs/>
          <w:szCs w:val="24"/>
          <w:lang w:eastAsia="pl-PL"/>
        </w:rPr>
      </w:pPr>
      <w:r>
        <w:rPr>
          <w:rFonts w:cs="Arial"/>
          <w:iCs/>
          <w:szCs w:val="24"/>
          <w:lang w:eastAsia="pl-PL"/>
        </w:rPr>
        <w:t>Odp.: Zamawiający dopuszcza z odpowiednim przeliczeniem zamawianych ilości</w:t>
      </w:r>
    </w:p>
    <w:p w:rsidR="00735A4E" w:rsidRDefault="00735A4E" w:rsidP="00735A4E">
      <w:pPr>
        <w:pStyle w:val="Standard"/>
        <w:spacing w:line="360" w:lineRule="auto"/>
        <w:rPr>
          <w:szCs w:val="24"/>
        </w:rPr>
      </w:pPr>
      <w:r>
        <w:rPr>
          <w:szCs w:val="24"/>
        </w:rPr>
        <w:t xml:space="preserve"> 4. </w:t>
      </w:r>
      <w:r w:rsidRPr="00735A4E">
        <w:rPr>
          <w:szCs w:val="24"/>
        </w:rPr>
        <w:t xml:space="preserve">Czy Zamawiający wymaga, aby produkt </w:t>
      </w:r>
      <w:proofErr w:type="spellStart"/>
      <w:r w:rsidRPr="00735A4E">
        <w:rPr>
          <w:szCs w:val="24"/>
        </w:rPr>
        <w:t>Nimbex</w:t>
      </w:r>
      <w:proofErr w:type="spellEnd"/>
      <w:r w:rsidRPr="00735A4E">
        <w:rPr>
          <w:szCs w:val="24"/>
        </w:rPr>
        <w:t xml:space="preserve"> 5 mg/ 2,5 ml x 5 </w:t>
      </w:r>
      <w:proofErr w:type="spellStart"/>
      <w:r w:rsidRPr="00735A4E">
        <w:rPr>
          <w:szCs w:val="24"/>
        </w:rPr>
        <w:t>amp</w:t>
      </w:r>
      <w:proofErr w:type="spellEnd"/>
      <w:r w:rsidRPr="00735A4E">
        <w:rPr>
          <w:szCs w:val="24"/>
        </w:rPr>
        <w:t xml:space="preserve"> w części nr 15 FONDAPARINUM, LEKI ZWIOTCZAJĄCE, poz. 6 posiadał w swojej charakterystyce zapis dotyczący substancji pomocniczych: kwasu </w:t>
      </w:r>
      <w:proofErr w:type="spellStart"/>
      <w:r w:rsidRPr="00735A4E">
        <w:rPr>
          <w:szCs w:val="24"/>
        </w:rPr>
        <w:t>benzenosulfonowego</w:t>
      </w:r>
      <w:proofErr w:type="spellEnd"/>
      <w:r w:rsidRPr="00735A4E">
        <w:rPr>
          <w:szCs w:val="24"/>
        </w:rPr>
        <w:t xml:space="preserve"> roztwór 32% w/v, woda</w:t>
      </w:r>
      <w:r>
        <w:rPr>
          <w:szCs w:val="24"/>
        </w:rPr>
        <w:t xml:space="preserve"> </w:t>
      </w:r>
      <w:r w:rsidRPr="00735A4E">
        <w:rPr>
          <w:szCs w:val="24"/>
        </w:rPr>
        <w:t xml:space="preserve">do </w:t>
      </w:r>
      <w:proofErr w:type="spellStart"/>
      <w:r w:rsidRPr="00735A4E">
        <w:rPr>
          <w:szCs w:val="24"/>
        </w:rPr>
        <w:t>wstrzykiwań</w:t>
      </w:r>
      <w:proofErr w:type="spellEnd"/>
      <w:r w:rsidRPr="00735A4E">
        <w:rPr>
          <w:szCs w:val="24"/>
        </w:rPr>
        <w:t>?</w:t>
      </w:r>
    </w:p>
    <w:p w:rsidR="00EF118F" w:rsidRDefault="00735A4E" w:rsidP="00735A4E">
      <w:pPr>
        <w:pStyle w:val="Standard"/>
        <w:spacing w:line="360" w:lineRule="auto"/>
        <w:rPr>
          <w:szCs w:val="24"/>
        </w:rPr>
      </w:pPr>
      <w:r>
        <w:rPr>
          <w:szCs w:val="24"/>
        </w:rPr>
        <w:t xml:space="preserve">Odp.: </w:t>
      </w:r>
      <w:r w:rsidR="00EF118F">
        <w:rPr>
          <w:szCs w:val="24"/>
        </w:rPr>
        <w:t>Zamawiający dopuszcza</w:t>
      </w:r>
      <w:r w:rsidRPr="00735A4E">
        <w:rPr>
          <w:szCs w:val="24"/>
        </w:rPr>
        <w:br/>
      </w:r>
      <w:r>
        <w:rPr>
          <w:szCs w:val="24"/>
        </w:rPr>
        <w:t>5.</w:t>
      </w:r>
      <w:r w:rsidRPr="00735A4E">
        <w:rPr>
          <w:szCs w:val="24"/>
        </w:rPr>
        <w:t xml:space="preserve"> Czy Zamawiający wymaga, aby produkt </w:t>
      </w:r>
      <w:proofErr w:type="spellStart"/>
      <w:r w:rsidRPr="00735A4E">
        <w:rPr>
          <w:szCs w:val="24"/>
        </w:rPr>
        <w:t>Nimbex</w:t>
      </w:r>
      <w:proofErr w:type="spellEnd"/>
      <w:r w:rsidRPr="00735A4E">
        <w:rPr>
          <w:szCs w:val="24"/>
        </w:rPr>
        <w:t xml:space="preserve"> 5 mg/ 2,5 ml x 5 </w:t>
      </w:r>
      <w:proofErr w:type="spellStart"/>
      <w:r w:rsidRPr="00735A4E">
        <w:rPr>
          <w:szCs w:val="24"/>
        </w:rPr>
        <w:t>amp</w:t>
      </w:r>
      <w:proofErr w:type="spellEnd"/>
      <w:r w:rsidRPr="00735A4E">
        <w:rPr>
          <w:szCs w:val="24"/>
        </w:rPr>
        <w:t xml:space="preserve"> w części nr 15 FONDAPARINUM, LEKI ZWIOTCZAJĄCE, poz. 6 posiadał w swojej charakterystyce zapis dotyczący (całkowitego) okresu ważności – 24 miesiące czy 18 miesięcy?</w:t>
      </w:r>
      <w:r w:rsidRPr="00735A4E">
        <w:rPr>
          <w:szCs w:val="24"/>
        </w:rPr>
        <w:br/>
      </w:r>
      <w:r>
        <w:rPr>
          <w:szCs w:val="24"/>
        </w:rPr>
        <w:t>Odp.: Zamawiający dopuszcza</w:t>
      </w:r>
      <w:r w:rsidR="00EF118F">
        <w:rPr>
          <w:szCs w:val="24"/>
        </w:rPr>
        <w:br/>
        <w:t xml:space="preserve">6. </w:t>
      </w:r>
      <w:r w:rsidRPr="00735A4E">
        <w:rPr>
          <w:szCs w:val="24"/>
        </w:rPr>
        <w:t xml:space="preserve">Czy Zamawiający wymaga, aby produkt </w:t>
      </w:r>
      <w:proofErr w:type="spellStart"/>
      <w:r w:rsidRPr="00735A4E">
        <w:rPr>
          <w:szCs w:val="24"/>
        </w:rPr>
        <w:t>Nimbex</w:t>
      </w:r>
      <w:proofErr w:type="spellEnd"/>
      <w:r w:rsidRPr="00735A4E">
        <w:rPr>
          <w:szCs w:val="24"/>
        </w:rPr>
        <w:t xml:space="preserve"> 5 mg/ 2,5 ml x 5 </w:t>
      </w:r>
      <w:proofErr w:type="spellStart"/>
      <w:r w:rsidRPr="00735A4E">
        <w:rPr>
          <w:szCs w:val="24"/>
        </w:rPr>
        <w:t>amp</w:t>
      </w:r>
      <w:proofErr w:type="spellEnd"/>
      <w:r w:rsidRPr="00735A4E">
        <w:rPr>
          <w:szCs w:val="24"/>
        </w:rPr>
        <w:t xml:space="preserve"> w części nr 15 FONDAPARINUM, LEKI ZWIOTCZAJĄCE, poz. 6 posiadał w swojej charakterystyce zapis dotyczący okresu ważności po rozcieńczeniu w temperaturze: </w:t>
      </w:r>
      <w:r w:rsidRPr="00735A4E">
        <w:rPr>
          <w:szCs w:val="24"/>
        </w:rPr>
        <w:br/>
      </w:r>
      <w:r w:rsidRPr="00735A4E">
        <w:rPr>
          <w:szCs w:val="24"/>
        </w:rPr>
        <w:lastRenderedPageBreak/>
        <w:t>•    5 do 25 °C czy też</w:t>
      </w:r>
      <w:r w:rsidRPr="00735A4E">
        <w:rPr>
          <w:szCs w:val="24"/>
        </w:rPr>
        <w:br/>
        <w:t>•    2-8°C oraz 25°C?</w:t>
      </w:r>
    </w:p>
    <w:p w:rsidR="005603D1" w:rsidRDefault="00EF118F" w:rsidP="00735A4E">
      <w:pPr>
        <w:pStyle w:val="Standard"/>
        <w:spacing w:line="360" w:lineRule="auto"/>
        <w:rPr>
          <w:szCs w:val="24"/>
        </w:rPr>
      </w:pPr>
      <w:r>
        <w:rPr>
          <w:szCs w:val="24"/>
        </w:rPr>
        <w:t>Odp.: Zamawiający dopuszcza</w:t>
      </w:r>
      <w:r w:rsidR="00735A4E" w:rsidRPr="00735A4E">
        <w:rPr>
          <w:szCs w:val="24"/>
        </w:rPr>
        <w:br/>
      </w:r>
      <w:r>
        <w:rPr>
          <w:szCs w:val="24"/>
        </w:rPr>
        <w:t xml:space="preserve">7. </w:t>
      </w:r>
      <w:r w:rsidR="00735A4E" w:rsidRPr="00735A4E">
        <w:rPr>
          <w:szCs w:val="24"/>
        </w:rPr>
        <w:t xml:space="preserve">Czy Zamawiający wymaga, aby produkt </w:t>
      </w:r>
      <w:proofErr w:type="spellStart"/>
      <w:r w:rsidR="00735A4E" w:rsidRPr="00735A4E">
        <w:rPr>
          <w:szCs w:val="24"/>
        </w:rPr>
        <w:t>Nimbex</w:t>
      </w:r>
      <w:proofErr w:type="spellEnd"/>
      <w:r w:rsidR="00735A4E" w:rsidRPr="00735A4E">
        <w:rPr>
          <w:szCs w:val="24"/>
        </w:rPr>
        <w:t xml:space="preserve"> 5 mg/ 2,5 ml x 5 </w:t>
      </w:r>
      <w:proofErr w:type="spellStart"/>
      <w:r w:rsidR="00735A4E" w:rsidRPr="00735A4E">
        <w:rPr>
          <w:szCs w:val="24"/>
        </w:rPr>
        <w:t>amp</w:t>
      </w:r>
      <w:proofErr w:type="spellEnd"/>
      <w:r w:rsidR="00735A4E" w:rsidRPr="00735A4E">
        <w:rPr>
          <w:szCs w:val="24"/>
        </w:rPr>
        <w:t xml:space="preserve"> w części nr 15 FONDAPARINUM, LEKI ZWIOTCZAJĄCE, poz. 6 posiadał w swojej charakterystyce zapis pozwalający na rozcieńczenie: do stężeń 0,1 do 2,0 mg/ml, czy stężenie 0,1 mg/ml?</w:t>
      </w:r>
      <w:r w:rsidR="00735A4E" w:rsidRPr="00735A4E">
        <w:rPr>
          <w:szCs w:val="24"/>
        </w:rPr>
        <w:br/>
      </w:r>
      <w:r>
        <w:rPr>
          <w:szCs w:val="24"/>
        </w:rPr>
        <w:t>Odp.: Zamawiający dopuszcza</w:t>
      </w:r>
      <w:r>
        <w:rPr>
          <w:szCs w:val="24"/>
        </w:rPr>
        <w:br/>
        <w:t>8.</w:t>
      </w:r>
      <w:r w:rsidR="00735A4E" w:rsidRPr="00735A4E">
        <w:rPr>
          <w:szCs w:val="24"/>
        </w:rPr>
        <w:t xml:space="preserve"> Czy Zamawiający wymaga, aby produkt </w:t>
      </w:r>
      <w:proofErr w:type="spellStart"/>
      <w:r w:rsidR="00735A4E" w:rsidRPr="00735A4E">
        <w:rPr>
          <w:szCs w:val="24"/>
        </w:rPr>
        <w:t>Nimbex</w:t>
      </w:r>
      <w:proofErr w:type="spellEnd"/>
      <w:r w:rsidR="00735A4E" w:rsidRPr="00735A4E">
        <w:rPr>
          <w:szCs w:val="24"/>
        </w:rPr>
        <w:t xml:space="preserve"> 10 mg/ 5 ml x 5 w części nr 15 FONDAPARINUM, LEKI ZWIOTCZAJĄCE, poz. 7 posiadał w swojej charakterystyce zapis dotyczący substancji pomocniczych: kwasu </w:t>
      </w:r>
      <w:proofErr w:type="spellStart"/>
      <w:r w:rsidR="00735A4E" w:rsidRPr="00735A4E">
        <w:rPr>
          <w:szCs w:val="24"/>
        </w:rPr>
        <w:t>benzenosulfonowego</w:t>
      </w:r>
      <w:proofErr w:type="spellEnd"/>
      <w:r w:rsidR="00735A4E" w:rsidRPr="00735A4E">
        <w:rPr>
          <w:szCs w:val="24"/>
        </w:rPr>
        <w:t xml:space="preserve"> roztwór 32% w/v, woda do </w:t>
      </w:r>
      <w:proofErr w:type="spellStart"/>
      <w:r w:rsidR="00735A4E" w:rsidRPr="00735A4E">
        <w:rPr>
          <w:szCs w:val="24"/>
        </w:rPr>
        <w:t>wstrzykiwań</w:t>
      </w:r>
      <w:proofErr w:type="spellEnd"/>
      <w:r w:rsidR="00735A4E" w:rsidRPr="00735A4E">
        <w:rPr>
          <w:szCs w:val="24"/>
        </w:rPr>
        <w:t>?</w:t>
      </w:r>
      <w:r w:rsidR="00735A4E" w:rsidRPr="00735A4E">
        <w:rPr>
          <w:szCs w:val="24"/>
        </w:rPr>
        <w:br/>
      </w:r>
      <w:r>
        <w:rPr>
          <w:szCs w:val="24"/>
        </w:rPr>
        <w:t>Odp.; Zamawiający dopuszcza</w:t>
      </w:r>
      <w:r>
        <w:rPr>
          <w:szCs w:val="24"/>
        </w:rPr>
        <w:br/>
        <w:t>9.</w:t>
      </w:r>
      <w:r w:rsidR="00735A4E" w:rsidRPr="00735A4E">
        <w:rPr>
          <w:szCs w:val="24"/>
        </w:rPr>
        <w:t xml:space="preserve">Czy Zamawiający wymaga, aby produkt </w:t>
      </w:r>
      <w:proofErr w:type="spellStart"/>
      <w:r w:rsidR="00735A4E" w:rsidRPr="00735A4E">
        <w:rPr>
          <w:szCs w:val="24"/>
        </w:rPr>
        <w:t>Nimbex</w:t>
      </w:r>
      <w:proofErr w:type="spellEnd"/>
      <w:r w:rsidR="00735A4E" w:rsidRPr="00735A4E">
        <w:rPr>
          <w:szCs w:val="24"/>
        </w:rPr>
        <w:t xml:space="preserve"> 10 mg/ 5 ml x 5 w części nr 15 FONDAPARINUM, LEKI ZWIOTCZAJĄCE, poz. 7 posiadał w swojej charakterystyce zapis dotyczący (całkowitego) okresu ważności – 24 miesiące czy 18 miesięcy?</w:t>
      </w:r>
      <w:r w:rsidR="00735A4E" w:rsidRPr="00735A4E">
        <w:rPr>
          <w:szCs w:val="24"/>
        </w:rPr>
        <w:br/>
      </w:r>
      <w:r>
        <w:rPr>
          <w:szCs w:val="24"/>
        </w:rPr>
        <w:t>Odp.: Zamawiający dopuszcza</w:t>
      </w:r>
      <w:r>
        <w:rPr>
          <w:szCs w:val="24"/>
        </w:rPr>
        <w:br/>
        <w:t xml:space="preserve">10. </w:t>
      </w:r>
      <w:r w:rsidR="00735A4E" w:rsidRPr="00735A4E">
        <w:rPr>
          <w:szCs w:val="24"/>
        </w:rPr>
        <w:t xml:space="preserve">Czy Zamawiający wymaga, aby produkt </w:t>
      </w:r>
      <w:proofErr w:type="spellStart"/>
      <w:r w:rsidR="00735A4E" w:rsidRPr="00735A4E">
        <w:rPr>
          <w:szCs w:val="24"/>
        </w:rPr>
        <w:t>Nimbex</w:t>
      </w:r>
      <w:proofErr w:type="spellEnd"/>
      <w:r w:rsidR="00735A4E" w:rsidRPr="00735A4E">
        <w:rPr>
          <w:szCs w:val="24"/>
        </w:rPr>
        <w:t xml:space="preserve"> 10 mg/ 5 ml x 5 w części nr 15 FONDAPARINUM, LEKI ZWIOTCZAJĄCE, poz. 7 posiadał w swojej charakterystyce zapis dotyczący okresu ważności po rozcieńczeniu w temperaturze: </w:t>
      </w:r>
      <w:r w:rsidR="00735A4E" w:rsidRPr="00735A4E">
        <w:rPr>
          <w:szCs w:val="24"/>
        </w:rPr>
        <w:br/>
        <w:t>•    5 do 25 °C czy też</w:t>
      </w:r>
      <w:r w:rsidR="00735A4E" w:rsidRPr="00735A4E">
        <w:rPr>
          <w:szCs w:val="24"/>
        </w:rPr>
        <w:br/>
        <w:t>•    2-8°C oraz 25°C?</w:t>
      </w:r>
      <w:r w:rsidR="00735A4E" w:rsidRPr="00735A4E">
        <w:rPr>
          <w:szCs w:val="24"/>
        </w:rPr>
        <w:br/>
      </w:r>
      <w:r>
        <w:rPr>
          <w:szCs w:val="24"/>
        </w:rPr>
        <w:t>Odp.: Zamawiający dopuszcza</w:t>
      </w:r>
      <w:r>
        <w:rPr>
          <w:szCs w:val="24"/>
        </w:rPr>
        <w:br/>
        <w:t xml:space="preserve">11. </w:t>
      </w:r>
      <w:r w:rsidR="00735A4E" w:rsidRPr="00735A4E">
        <w:rPr>
          <w:szCs w:val="24"/>
        </w:rPr>
        <w:t xml:space="preserve">Czy Zamawiający wymaga, aby produkt </w:t>
      </w:r>
      <w:proofErr w:type="spellStart"/>
      <w:r w:rsidR="00735A4E" w:rsidRPr="00735A4E">
        <w:rPr>
          <w:szCs w:val="24"/>
        </w:rPr>
        <w:t>Nimbex</w:t>
      </w:r>
      <w:proofErr w:type="spellEnd"/>
      <w:r w:rsidR="00735A4E" w:rsidRPr="00735A4E">
        <w:rPr>
          <w:szCs w:val="24"/>
        </w:rPr>
        <w:t xml:space="preserve"> 10 mg/ 5 ml x 5 w części nr 15 FONDAPARINUM, LEKI ZWIOTCZAJĄCE, poz. 7 posiadał w swojej charakterystyce zapis pozwalający na rozcieńczenie: do stężeń 0,1 do 2,0 mg/ml, czy stężenie 0,1 mg/ml?</w:t>
      </w:r>
      <w:r w:rsidR="00735A4E" w:rsidRPr="00735A4E">
        <w:rPr>
          <w:szCs w:val="24"/>
        </w:rPr>
        <w:br/>
      </w:r>
      <w:r>
        <w:rPr>
          <w:szCs w:val="24"/>
        </w:rPr>
        <w:t>Odp.: Zamawiający dopuszcza</w:t>
      </w:r>
      <w:r>
        <w:rPr>
          <w:szCs w:val="24"/>
        </w:rPr>
        <w:br/>
        <w:t>12.</w:t>
      </w:r>
      <w:r w:rsidR="00735A4E" w:rsidRPr="00735A4E">
        <w:rPr>
          <w:szCs w:val="24"/>
        </w:rPr>
        <w:t xml:space="preserve">Czy Zamawiający wymaga, aby produkt </w:t>
      </w:r>
      <w:proofErr w:type="spellStart"/>
      <w:r w:rsidR="00735A4E" w:rsidRPr="00735A4E">
        <w:rPr>
          <w:szCs w:val="24"/>
        </w:rPr>
        <w:t>Tracrium</w:t>
      </w:r>
      <w:proofErr w:type="spellEnd"/>
      <w:r w:rsidR="00735A4E" w:rsidRPr="00735A4E">
        <w:rPr>
          <w:szCs w:val="24"/>
        </w:rPr>
        <w:t xml:space="preserve"> 25 mg/ 2,5 ml x 5 </w:t>
      </w:r>
      <w:proofErr w:type="spellStart"/>
      <w:r w:rsidR="00735A4E" w:rsidRPr="00735A4E">
        <w:rPr>
          <w:szCs w:val="24"/>
        </w:rPr>
        <w:t>amp</w:t>
      </w:r>
      <w:proofErr w:type="spellEnd"/>
      <w:r w:rsidR="00735A4E" w:rsidRPr="00735A4E">
        <w:rPr>
          <w:szCs w:val="24"/>
        </w:rPr>
        <w:t xml:space="preserve"> w części nr 15 FONDAPARINUM, LEKI ZWIOTCZAJĄCE, poz. 8 posiadał zapis w Charakterystyce Produktu Leczniczego, który pozwala na przechowywanie produktu po rozcieńczeniu w jednym z płynów do infuzji w temperaturze powyżej 25°C?</w:t>
      </w:r>
      <w:r w:rsidR="00735A4E" w:rsidRPr="00735A4E">
        <w:rPr>
          <w:szCs w:val="24"/>
        </w:rPr>
        <w:br/>
      </w:r>
      <w:r>
        <w:rPr>
          <w:szCs w:val="24"/>
        </w:rPr>
        <w:t>Odp.: Zamawiający dopuszcza</w:t>
      </w:r>
      <w:r>
        <w:rPr>
          <w:szCs w:val="24"/>
        </w:rPr>
        <w:br/>
        <w:t>13.</w:t>
      </w:r>
      <w:r w:rsidR="00735A4E" w:rsidRPr="00735A4E">
        <w:rPr>
          <w:szCs w:val="24"/>
        </w:rPr>
        <w:t xml:space="preserve"> Czy Zamawiający wymaga, aby produkt </w:t>
      </w:r>
      <w:proofErr w:type="spellStart"/>
      <w:r w:rsidR="00735A4E" w:rsidRPr="00735A4E">
        <w:rPr>
          <w:szCs w:val="24"/>
        </w:rPr>
        <w:t>Tracrium</w:t>
      </w:r>
      <w:proofErr w:type="spellEnd"/>
      <w:r w:rsidR="00735A4E" w:rsidRPr="00735A4E">
        <w:rPr>
          <w:szCs w:val="24"/>
        </w:rPr>
        <w:t xml:space="preserve"> 50 mg/ 5 ml x 5 </w:t>
      </w:r>
      <w:proofErr w:type="spellStart"/>
      <w:r w:rsidR="00735A4E" w:rsidRPr="00735A4E">
        <w:rPr>
          <w:szCs w:val="24"/>
        </w:rPr>
        <w:t>amp</w:t>
      </w:r>
      <w:proofErr w:type="spellEnd"/>
      <w:r w:rsidR="00735A4E" w:rsidRPr="00735A4E">
        <w:rPr>
          <w:szCs w:val="24"/>
        </w:rPr>
        <w:t xml:space="preserve"> w części nr 15 FONDAPARINUM, LEKI ZWIOTCZAJĄCE, poz. 9 posiadał zapis w Charakterystyce </w:t>
      </w:r>
      <w:r w:rsidR="00735A4E" w:rsidRPr="00735A4E">
        <w:rPr>
          <w:szCs w:val="24"/>
        </w:rPr>
        <w:lastRenderedPageBreak/>
        <w:t>Produktu Leczniczego, który pozwala na przechowywanie produktu po rozcieńczeniu w jednym z płynów do infuzji w temperaturze powyżej 25°C?</w:t>
      </w:r>
    </w:p>
    <w:p w:rsidR="00EF118F" w:rsidRPr="00735A4E" w:rsidRDefault="00EF118F" w:rsidP="00735A4E">
      <w:pPr>
        <w:pStyle w:val="Standard"/>
        <w:spacing w:line="360" w:lineRule="auto"/>
        <w:rPr>
          <w:szCs w:val="24"/>
        </w:rPr>
      </w:pPr>
      <w:r>
        <w:rPr>
          <w:szCs w:val="24"/>
        </w:rPr>
        <w:t>Odp.: Zamawiający dopuszcza</w:t>
      </w:r>
    </w:p>
    <w:p w:rsidR="000A73AC" w:rsidRPr="00735A4E" w:rsidRDefault="000A73AC" w:rsidP="00690C20">
      <w:pPr>
        <w:spacing w:before="100" w:beforeAutospacing="1" w:after="100" w:afterAutospacing="1"/>
        <w:rPr>
          <w:lang w:eastAsia="pl-PL"/>
        </w:rPr>
      </w:pPr>
    </w:p>
    <w:p w:rsidR="000A73AC" w:rsidRPr="00735A4E" w:rsidRDefault="000A73AC" w:rsidP="000A73AC">
      <w:pPr>
        <w:spacing w:before="100" w:beforeAutospacing="1" w:after="100" w:afterAutospacing="1"/>
        <w:jc w:val="right"/>
        <w:rPr>
          <w:lang w:eastAsia="pl-PL"/>
        </w:rPr>
      </w:pPr>
      <w:r w:rsidRPr="00735A4E">
        <w:rPr>
          <w:lang w:eastAsia="pl-PL"/>
        </w:rPr>
        <w:t>Zamawiający</w:t>
      </w:r>
    </w:p>
    <w:p w:rsidR="00690C20" w:rsidRPr="00735A4E" w:rsidRDefault="00690C20" w:rsidP="00690C20">
      <w:pPr>
        <w:suppressAutoHyphens w:val="0"/>
        <w:autoSpaceDE w:val="0"/>
        <w:autoSpaceDN w:val="0"/>
        <w:spacing w:before="100" w:beforeAutospacing="1" w:after="100" w:afterAutospacing="1"/>
        <w:jc w:val="both"/>
        <w:rPr>
          <w:lang w:eastAsia="pl-PL"/>
        </w:rPr>
      </w:pPr>
      <w:r w:rsidRPr="00735A4E">
        <w:rPr>
          <w:lang w:eastAsia="pl-PL"/>
        </w:rPr>
        <w:t> </w:t>
      </w:r>
    </w:p>
    <w:p w:rsidR="00690C20" w:rsidRPr="000F330C" w:rsidRDefault="00690C20" w:rsidP="008135B4">
      <w:pPr>
        <w:autoSpaceDE w:val="0"/>
        <w:autoSpaceDN w:val="0"/>
        <w:adjustRightInd w:val="0"/>
        <w:spacing w:line="276" w:lineRule="auto"/>
        <w:rPr>
          <w:rFonts w:eastAsiaTheme="minorEastAsia"/>
          <w:szCs w:val="20"/>
          <w:lang w:eastAsia="zh-TW"/>
        </w:rPr>
      </w:pPr>
    </w:p>
    <w:p w:rsidR="008135B4" w:rsidRDefault="008135B4" w:rsidP="008135B4">
      <w:pPr>
        <w:autoSpaceDE w:val="0"/>
        <w:autoSpaceDN w:val="0"/>
        <w:adjustRightInd w:val="0"/>
        <w:jc w:val="right"/>
        <w:rPr>
          <w:rFonts w:eastAsiaTheme="minorEastAsia"/>
          <w:sz w:val="18"/>
          <w:szCs w:val="18"/>
          <w:lang w:eastAsia="zh-TW"/>
        </w:rPr>
      </w:pPr>
    </w:p>
    <w:p w:rsidR="006F6E9F" w:rsidRPr="00EF643B" w:rsidRDefault="006F6E9F" w:rsidP="009C3907"/>
    <w:p w:rsidR="003C37D9" w:rsidRPr="00EF643B" w:rsidRDefault="003C37D9"/>
    <w:p w:rsidR="00100FE1" w:rsidRPr="00EF643B" w:rsidRDefault="00100FE1"/>
    <w:p w:rsidR="00926BD3" w:rsidRPr="00EF643B" w:rsidRDefault="00926BD3" w:rsidP="00100FE1">
      <w:pPr>
        <w:jc w:val="right"/>
      </w:pPr>
    </w:p>
    <w:p w:rsidR="00926BD3" w:rsidRPr="00EF643B" w:rsidRDefault="00926BD3" w:rsidP="00100FE1">
      <w:pPr>
        <w:jc w:val="right"/>
      </w:pPr>
    </w:p>
    <w:p w:rsidR="000A7053" w:rsidRPr="00EF643B" w:rsidRDefault="000A7053" w:rsidP="00926BD3">
      <w:pPr>
        <w:spacing w:before="102" w:after="102" w:line="360" w:lineRule="auto"/>
      </w:pPr>
    </w:p>
    <w:p w:rsidR="00926BD3" w:rsidRPr="00EF643B" w:rsidRDefault="00926BD3" w:rsidP="00100FE1">
      <w:pPr>
        <w:jc w:val="right"/>
      </w:pPr>
    </w:p>
    <w:sectPr w:rsidR="00926BD3" w:rsidRPr="00EF643B" w:rsidSect="003C3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54BA5EC"/>
    <w:multiLevelType w:val="multilevel"/>
    <w:tmpl w:val="972845E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639B5"/>
    <w:multiLevelType w:val="hybridMultilevel"/>
    <w:tmpl w:val="49EAF498"/>
    <w:lvl w:ilvl="0" w:tplc="920EBAC2">
      <w:start w:val="1"/>
      <w:numFmt w:val="decimal"/>
      <w:lvlText w:val="%1."/>
      <w:lvlJc w:val="left"/>
      <w:pPr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D70ADA"/>
    <w:multiLevelType w:val="hybridMultilevel"/>
    <w:tmpl w:val="657826E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C589"/>
    <w:multiLevelType w:val="multilevel"/>
    <w:tmpl w:val="DEF2A52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F31749"/>
    <w:multiLevelType w:val="hybridMultilevel"/>
    <w:tmpl w:val="F0B60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E7770B"/>
    <w:multiLevelType w:val="hybridMultilevel"/>
    <w:tmpl w:val="2C32D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00FE1"/>
    <w:rsid w:val="000101F8"/>
    <w:rsid w:val="00077003"/>
    <w:rsid w:val="000A7053"/>
    <w:rsid w:val="000A73AC"/>
    <w:rsid w:val="000B2754"/>
    <w:rsid w:val="000B4000"/>
    <w:rsid w:val="00100FE1"/>
    <w:rsid w:val="00107180"/>
    <w:rsid w:val="00144144"/>
    <w:rsid w:val="00157796"/>
    <w:rsid w:val="001B4C41"/>
    <w:rsid w:val="001F18D8"/>
    <w:rsid w:val="002413A8"/>
    <w:rsid w:val="00252036"/>
    <w:rsid w:val="002E482B"/>
    <w:rsid w:val="00306752"/>
    <w:rsid w:val="003374D0"/>
    <w:rsid w:val="003556A3"/>
    <w:rsid w:val="00373BAF"/>
    <w:rsid w:val="00381E39"/>
    <w:rsid w:val="003830CB"/>
    <w:rsid w:val="0039734F"/>
    <w:rsid w:val="003C356A"/>
    <w:rsid w:val="003C37D9"/>
    <w:rsid w:val="00401174"/>
    <w:rsid w:val="00433522"/>
    <w:rsid w:val="00484B93"/>
    <w:rsid w:val="004A0876"/>
    <w:rsid w:val="004D3C66"/>
    <w:rsid w:val="004F4C4E"/>
    <w:rsid w:val="00514698"/>
    <w:rsid w:val="0052547E"/>
    <w:rsid w:val="005445CF"/>
    <w:rsid w:val="005603D1"/>
    <w:rsid w:val="00564FB6"/>
    <w:rsid w:val="005D63AF"/>
    <w:rsid w:val="00657612"/>
    <w:rsid w:val="00673FE3"/>
    <w:rsid w:val="00690C20"/>
    <w:rsid w:val="006A7317"/>
    <w:rsid w:val="006D07FA"/>
    <w:rsid w:val="006F2936"/>
    <w:rsid w:val="006F6E9F"/>
    <w:rsid w:val="00735A4E"/>
    <w:rsid w:val="00743E9D"/>
    <w:rsid w:val="007441A3"/>
    <w:rsid w:val="00766673"/>
    <w:rsid w:val="007E2CC1"/>
    <w:rsid w:val="007F44B0"/>
    <w:rsid w:val="00806C73"/>
    <w:rsid w:val="008135B4"/>
    <w:rsid w:val="00880FFA"/>
    <w:rsid w:val="008A1A4A"/>
    <w:rsid w:val="008B1154"/>
    <w:rsid w:val="00920625"/>
    <w:rsid w:val="00926BD3"/>
    <w:rsid w:val="0093388F"/>
    <w:rsid w:val="00937572"/>
    <w:rsid w:val="009519DB"/>
    <w:rsid w:val="00982730"/>
    <w:rsid w:val="009A28FB"/>
    <w:rsid w:val="009C3907"/>
    <w:rsid w:val="009D02A9"/>
    <w:rsid w:val="009D17DD"/>
    <w:rsid w:val="009D623C"/>
    <w:rsid w:val="009F7AB0"/>
    <w:rsid w:val="00AA769A"/>
    <w:rsid w:val="00AE6013"/>
    <w:rsid w:val="00AF1D4F"/>
    <w:rsid w:val="00AF7050"/>
    <w:rsid w:val="00B00543"/>
    <w:rsid w:val="00B21F83"/>
    <w:rsid w:val="00B3621C"/>
    <w:rsid w:val="00BD7046"/>
    <w:rsid w:val="00C150F5"/>
    <w:rsid w:val="00C35EF1"/>
    <w:rsid w:val="00C71128"/>
    <w:rsid w:val="00CB19A5"/>
    <w:rsid w:val="00CE0EF8"/>
    <w:rsid w:val="00CE4BA0"/>
    <w:rsid w:val="00CF4AFA"/>
    <w:rsid w:val="00D366C5"/>
    <w:rsid w:val="00DA16FF"/>
    <w:rsid w:val="00DC78F0"/>
    <w:rsid w:val="00DE79C3"/>
    <w:rsid w:val="00E04AC7"/>
    <w:rsid w:val="00E43836"/>
    <w:rsid w:val="00E45D38"/>
    <w:rsid w:val="00E760C8"/>
    <w:rsid w:val="00EA3CC3"/>
    <w:rsid w:val="00EE3EC5"/>
    <w:rsid w:val="00EF118F"/>
    <w:rsid w:val="00EF643B"/>
    <w:rsid w:val="00EF7D20"/>
    <w:rsid w:val="00F9041B"/>
    <w:rsid w:val="00FA77B5"/>
    <w:rsid w:val="00FB0D18"/>
    <w:rsid w:val="00FC561E"/>
    <w:rsid w:val="00FD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F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100FE1"/>
    <w:pPr>
      <w:suppressAutoHyphens w:val="0"/>
      <w:spacing w:before="280" w:after="119"/>
    </w:pPr>
  </w:style>
  <w:style w:type="character" w:customStyle="1" w:styleId="TytuZnak">
    <w:name w:val="Tytuł Znak"/>
    <w:aliases w:val="Znak Znak"/>
    <w:basedOn w:val="Domylnaczcionkaakapitu"/>
    <w:link w:val="Tytu"/>
    <w:locked/>
    <w:rsid w:val="00100FE1"/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Tytu">
    <w:name w:val="Title"/>
    <w:aliases w:val="Znak"/>
    <w:basedOn w:val="Normalny"/>
    <w:next w:val="Normalny"/>
    <w:link w:val="TytuZnak"/>
    <w:qFormat/>
    <w:rsid w:val="00100FE1"/>
    <w:pPr>
      <w:jc w:val="center"/>
    </w:pPr>
    <w:rPr>
      <w:rFonts w:ascii="Arial" w:eastAsiaTheme="minorHAnsi" w:hAnsi="Arial" w:cs="Arial"/>
      <w:b/>
      <w:bCs/>
      <w:kern w:val="2"/>
      <w:sz w:val="32"/>
      <w:szCs w:val="32"/>
    </w:rPr>
  </w:style>
  <w:style w:type="character" w:customStyle="1" w:styleId="TytuZnak1">
    <w:name w:val="Tytuł Znak1"/>
    <w:basedOn w:val="Domylnaczcionkaakapitu"/>
    <w:link w:val="Tytu"/>
    <w:uiPriority w:val="10"/>
    <w:rsid w:val="00100F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kapitzlist">
    <w:name w:val="List Paragraph"/>
    <w:basedOn w:val="Normalny"/>
    <w:uiPriority w:val="34"/>
    <w:qFormat/>
    <w:rsid w:val="00100F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0F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FE1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qFormat/>
    <w:rsid w:val="00AA769A"/>
    <w:pPr>
      <w:suppressAutoHyphens w:val="0"/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A769A"/>
    <w:rPr>
      <w:sz w:val="24"/>
      <w:szCs w:val="24"/>
      <w:lang w:val="en-US"/>
    </w:rPr>
  </w:style>
  <w:style w:type="paragraph" w:customStyle="1" w:styleId="FirstParagraph">
    <w:name w:val="First Paragraph"/>
    <w:basedOn w:val="Tekstpodstawowy"/>
    <w:next w:val="Tekstpodstawowy"/>
    <w:qFormat/>
    <w:rsid w:val="00AA769A"/>
  </w:style>
  <w:style w:type="paragraph" w:customStyle="1" w:styleId="Compact">
    <w:name w:val="Compact"/>
    <w:basedOn w:val="Tekstpodstawowy"/>
    <w:qFormat/>
    <w:rsid w:val="00AA769A"/>
    <w:pPr>
      <w:spacing w:before="36" w:after="36"/>
    </w:pPr>
  </w:style>
  <w:style w:type="paragraph" w:customStyle="1" w:styleId="Caption">
    <w:name w:val="Caption"/>
    <w:basedOn w:val="Normalny"/>
    <w:rsid w:val="00AA769A"/>
    <w:pPr>
      <w:suppressAutoHyphens w:val="0"/>
      <w:spacing w:after="120"/>
    </w:pPr>
    <w:rPr>
      <w:rFonts w:asciiTheme="minorHAnsi" w:eastAsiaTheme="minorHAnsi" w:hAnsiTheme="minorHAnsi" w:cstheme="minorBidi"/>
      <w:i/>
      <w:lang w:val="en-US" w:eastAsia="en-US"/>
    </w:rPr>
  </w:style>
  <w:style w:type="paragraph" w:customStyle="1" w:styleId="Default">
    <w:name w:val="Default"/>
    <w:rsid w:val="00484B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uiPriority w:val="99"/>
    <w:rsid w:val="00560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2</cp:revision>
  <dcterms:created xsi:type="dcterms:W3CDTF">2020-09-03T11:24:00Z</dcterms:created>
  <dcterms:modified xsi:type="dcterms:W3CDTF">2020-09-03T11:24:00Z</dcterms:modified>
</cp:coreProperties>
</file>