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Default="001524BD" w:rsidP="001524B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ZP. 261.</w:t>
      </w:r>
      <w:r w:rsidR="00266ACB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266ACB">
        <w:rPr>
          <w:sz w:val="22"/>
          <w:szCs w:val="22"/>
        </w:rPr>
        <w:t>8</w:t>
      </w:r>
    </w:p>
    <w:p w:rsidR="006164F6" w:rsidRDefault="006164F6" w:rsidP="006164F6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4A1B06">
        <w:rPr>
          <w:sz w:val="22"/>
          <w:szCs w:val="22"/>
        </w:rPr>
        <w:t>0</w:t>
      </w:r>
      <w:r w:rsidR="005F2307">
        <w:rPr>
          <w:sz w:val="22"/>
          <w:szCs w:val="22"/>
        </w:rPr>
        <w:t>9</w:t>
      </w:r>
      <w:r w:rsidR="004A1B06">
        <w:rPr>
          <w:sz w:val="22"/>
          <w:szCs w:val="22"/>
        </w:rPr>
        <w:t>.10.2018</w:t>
      </w:r>
    </w:p>
    <w:p w:rsidR="006164F6" w:rsidRDefault="006164F6" w:rsidP="006164F6">
      <w:pPr>
        <w:pStyle w:val="NormalnyWeb"/>
        <w:spacing w:before="0" w:after="0"/>
        <w:jc w:val="both"/>
        <w:rPr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6164F6" w:rsidRDefault="006164F6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6164F6" w:rsidRDefault="006164F6" w:rsidP="006164F6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6164F6" w:rsidRDefault="006164F6" w:rsidP="006164F6">
      <w:pPr>
        <w:jc w:val="center"/>
        <w:rPr>
          <w:b/>
        </w:rPr>
      </w:pPr>
    </w:p>
    <w:p w:rsidR="006164F6" w:rsidRDefault="006164F6" w:rsidP="006164F6">
      <w:pPr>
        <w:jc w:val="center"/>
        <w:rPr>
          <w:b/>
        </w:rPr>
      </w:pPr>
      <w:r>
        <w:rPr>
          <w:b/>
        </w:rPr>
        <w:t>Wyjaśnienia</w:t>
      </w:r>
    </w:p>
    <w:p w:rsidR="006164F6" w:rsidRDefault="006164F6" w:rsidP="006164F6"/>
    <w:p w:rsidR="006164F6" w:rsidRDefault="006164F6" w:rsidP="006164F6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>ostawę produktów leczniczych</w:t>
      </w:r>
      <w:r w:rsidR="00266ACB">
        <w:rPr>
          <w:rFonts w:eastAsia="TimesNewRomanPS-BoldMT"/>
          <w:sz w:val="20"/>
          <w:szCs w:val="20"/>
        </w:rPr>
        <w:t xml:space="preserve">, wyrobów medycznych </w:t>
      </w:r>
      <w:r>
        <w:rPr>
          <w:rFonts w:eastAsia="TimesNewRomanPS-BoldMT"/>
          <w:sz w:val="20"/>
          <w:szCs w:val="20"/>
        </w:rPr>
        <w:t xml:space="preserve"> i innych </w:t>
      </w:r>
    </w:p>
    <w:p w:rsidR="006164F6" w:rsidRDefault="006164F6" w:rsidP="006164F6">
      <w: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5F2307" w:rsidRDefault="005F2307" w:rsidP="006164F6"/>
    <w:p w:rsidR="005F2307" w:rsidRDefault="005F2307" w:rsidP="006164F6"/>
    <w:p w:rsidR="00735AF6" w:rsidRPr="00844120" w:rsidRDefault="00735AF6" w:rsidP="006164F6"/>
    <w:p w:rsidR="005F2307" w:rsidRPr="00844120" w:rsidRDefault="005F2307" w:rsidP="005F2307">
      <w:pPr>
        <w:rPr>
          <w:b/>
          <w:i/>
        </w:rPr>
      </w:pPr>
      <w:r w:rsidRPr="00844120">
        <w:rPr>
          <w:b/>
          <w:i/>
        </w:rPr>
        <w:t>Pytanie dot. Części nr 15 (Płyny infuzyjne)</w:t>
      </w:r>
    </w:p>
    <w:p w:rsidR="005F2307" w:rsidRPr="00844120" w:rsidRDefault="005F2307" w:rsidP="005F2307">
      <w:pPr>
        <w:rPr>
          <w:b/>
          <w:i/>
        </w:rPr>
      </w:pPr>
    </w:p>
    <w:p w:rsidR="005F2307" w:rsidRPr="00844120" w:rsidRDefault="005F2307" w:rsidP="005F2307">
      <w:pPr>
        <w:numPr>
          <w:ilvl w:val="0"/>
          <w:numId w:val="11"/>
        </w:numPr>
        <w:suppressAutoHyphens w:val="0"/>
      </w:pPr>
      <w:r w:rsidRPr="00844120">
        <w:t>Prosimy o doprecyzowanie czy Zamawiający w Części Nr 15 w poz. 1-7, 10-12, 14  miał na myśli płyny infuzyjne w bezpiecznych opakowaniach typu butelka (polietylen/polipropylen) KabiPac/KabiClear wyposażone w dwa różnej wielkości porty zabezpieczone plastikowymi zatyczkami (dodatkowo oznaczonymi strzałkami, jedna do wstrzyknięcia, druga wskazująca miejsce do podłączenia zestawu do infuzji) co zmniejsza ryzyko kontaminacji.</w:t>
      </w:r>
    </w:p>
    <w:p w:rsidR="005F2307" w:rsidRPr="00844120" w:rsidRDefault="005F2307" w:rsidP="005F2307">
      <w:pPr>
        <w:ind w:left="502"/>
      </w:pPr>
      <w:r w:rsidRPr="00844120">
        <w:t xml:space="preserve">Porty w proponowanych opakowaniach mają właściwości samozasklepiające dzięki czemu nawet po przypadkowym wyrwaniu zestawu do infuzji zalecony w terapii płyn nie wycieknie na zewnątrz. </w:t>
      </w:r>
    </w:p>
    <w:p w:rsidR="005F2307" w:rsidRPr="00844120" w:rsidRDefault="005F2307" w:rsidP="005F2307">
      <w:r w:rsidRPr="00844120">
        <w:t xml:space="preserve">          Takie opakowanie skraca czas pracy personelu przy przygotowaniu infuzji oraz </w:t>
      </w:r>
      <w:r w:rsidR="00844120">
        <w:t xml:space="preserve">  </w:t>
      </w:r>
      <w:r w:rsidRPr="00844120">
        <w:t>zmniejsza koszty przygotowania ze względu na brak konieczności dezynfekcji portów przed pierwszym użyciem.</w:t>
      </w:r>
    </w:p>
    <w:p w:rsidR="005F2307" w:rsidRPr="00844120" w:rsidRDefault="005F2307" w:rsidP="005F2307">
      <w:pPr>
        <w:suppressAutoHyphens w:val="0"/>
      </w:pPr>
      <w:r w:rsidRPr="00844120">
        <w:rPr>
          <w:b/>
        </w:rPr>
        <w:t>Odp.</w:t>
      </w:r>
      <w:r w:rsidRPr="00844120">
        <w:t>: TAK, Zamawiający w Części Nr 15 w poz. 1-7, 10-12, 14  miał na myśli płyny infuzyjne w bezpiecznych opakowaniach typu butelka (polietylen/polipropylen) KabiPac/KabiClear wyposażone w dwa różnej wielkości porty zabezpieczone plastikowymi zatyczkami (dodatkowo oznaczonymi strzałkami, jedna do wstrzyknięcia, druga wskazująca miejsce do podłączenia zestawu do infuzji) co zmniejsza ryzyko kontaminacji.</w:t>
      </w:r>
    </w:p>
    <w:p w:rsidR="005F2307" w:rsidRPr="00844120" w:rsidRDefault="005F2307" w:rsidP="005F2307"/>
    <w:p w:rsidR="005F2307" w:rsidRPr="00844120" w:rsidRDefault="005F2307" w:rsidP="005F2307">
      <w:pPr>
        <w:pStyle w:val="Akapitzlist"/>
        <w:numPr>
          <w:ilvl w:val="0"/>
          <w:numId w:val="11"/>
        </w:numPr>
        <w:suppressAutoHyphens w:val="0"/>
        <w:jc w:val="both"/>
      </w:pPr>
      <w:r w:rsidRPr="00844120">
        <w:t>Czy Zamawiający w Części Nr  15 w poz. 9 wyrazi zgodę na zaoferowanie  Dekstranu 70 000 6%</w:t>
      </w:r>
      <w:r w:rsidR="00735AF6">
        <w:t xml:space="preserve"> </w:t>
      </w:r>
      <w:r w:rsidRPr="00844120">
        <w:t>w opakowaniu  typu worek?</w:t>
      </w:r>
    </w:p>
    <w:p w:rsidR="005F2307" w:rsidRPr="00844120" w:rsidRDefault="005F2307" w:rsidP="005F2307">
      <w:pPr>
        <w:ind w:left="502"/>
        <w:jc w:val="both"/>
      </w:pPr>
      <w:r w:rsidRPr="00844120">
        <w:t>Wymagany przez Zamawiającego produkt nie występuje w szkle.</w:t>
      </w:r>
    </w:p>
    <w:p w:rsidR="005F2307" w:rsidRPr="00844120" w:rsidRDefault="005F2307" w:rsidP="005F2307">
      <w:pPr>
        <w:jc w:val="both"/>
      </w:pPr>
      <w:r w:rsidRPr="00844120">
        <w:t>Odp.: Zamawiający dopuszcza</w:t>
      </w:r>
    </w:p>
    <w:p w:rsidR="005F2307" w:rsidRPr="00844120" w:rsidRDefault="005F2307" w:rsidP="005F2307">
      <w:pPr>
        <w:jc w:val="both"/>
      </w:pPr>
    </w:p>
    <w:p w:rsidR="005F2307" w:rsidRPr="00844120" w:rsidRDefault="005F2307" w:rsidP="005F2307">
      <w:pPr>
        <w:pStyle w:val="Akapitzlist"/>
        <w:ind w:left="0"/>
        <w:jc w:val="both"/>
        <w:rPr>
          <w:b/>
        </w:rPr>
      </w:pPr>
      <w:r w:rsidRPr="00844120">
        <w:rPr>
          <w:b/>
        </w:rPr>
        <w:t>Pytanie dot. Części Nr 19</w:t>
      </w:r>
    </w:p>
    <w:p w:rsidR="005F2307" w:rsidRPr="00844120" w:rsidRDefault="005F2307" w:rsidP="00844120">
      <w:pPr>
        <w:pStyle w:val="Akapitzlist"/>
        <w:numPr>
          <w:ilvl w:val="0"/>
          <w:numId w:val="11"/>
        </w:numPr>
        <w:suppressAutoHyphens w:val="0"/>
        <w:contextualSpacing w:val="0"/>
      </w:pPr>
      <w:r w:rsidRPr="00844120">
        <w:t xml:space="preserve">Czy Zamawiający w Części 19 w pozycjach 1-14, 16, 17 wyrazi zgodę na zaoferowanie płynów w opakowaniach typu butelka stojąca  wyposażona w dwa różnej wielkości niezależnie zabezpieczone porty zabezpieczone plastikowymi zatyczkami (dodatkowo oznaczonymi strzałkami, jedna do  wstrzyknięcia, druga wskazująca miejsce do podłączenia zestawu do infuzji) co zmniejsza ryzyko kontaminacji. Porty w </w:t>
      </w:r>
      <w:r w:rsidRPr="00844120">
        <w:lastRenderedPageBreak/>
        <w:t>proponowanych opakowaniach mają właściwości samozasklepiające dzięki czemu nawet po przypadkowym wyrwaniu zestawu do infuzji zalecony w terapii płyn nie wycieknie na zewnątrz. Reasumując – takie opakowanie skraca czas pracy personelu przy przygotowaniu infuzji oraz zmniejsza koszty przygotowania ze względu na brak konieczności dezynfekcji portów przed pierwszym użyciem.</w:t>
      </w:r>
    </w:p>
    <w:p w:rsidR="005F2307" w:rsidRPr="00844120" w:rsidRDefault="005F2307" w:rsidP="005F2307">
      <w:pPr>
        <w:suppressAutoHyphens w:val="0"/>
        <w:ind w:left="360"/>
      </w:pPr>
      <w:r w:rsidRPr="00844120">
        <w:t>Odp.: Zamawiający nie wyraża zgody</w:t>
      </w:r>
    </w:p>
    <w:p w:rsidR="005F2307" w:rsidRPr="00844120" w:rsidRDefault="005F2307" w:rsidP="005F2307">
      <w:pPr>
        <w:suppressAutoHyphens w:val="0"/>
        <w:ind w:left="360"/>
      </w:pPr>
    </w:p>
    <w:p w:rsidR="005F2307" w:rsidRPr="00844120" w:rsidRDefault="005F2307" w:rsidP="00844120">
      <w:pPr>
        <w:pStyle w:val="Akapitzlist"/>
        <w:numPr>
          <w:ilvl w:val="0"/>
          <w:numId w:val="11"/>
        </w:numPr>
        <w:suppressAutoHyphens w:val="0"/>
        <w:contextualSpacing w:val="0"/>
      </w:pPr>
      <w:r w:rsidRPr="00844120">
        <w:t>Czy Zamawiający wyrazi zgodę na zaoferowanie w Części 19 w poz. 18 produktu leczniczego   Geloplasma - roztwór zmodyfikowanej żelatyny 3% w opakowaniu worek 500 ml?</w:t>
      </w:r>
    </w:p>
    <w:p w:rsidR="005F2307" w:rsidRPr="00844120" w:rsidRDefault="005F2307" w:rsidP="005F2307">
      <w:pPr>
        <w:suppressAutoHyphens w:val="0"/>
        <w:ind w:left="360"/>
      </w:pPr>
      <w:r w:rsidRPr="00844120">
        <w:t>Odp.: Zamawiający dopuszcza</w:t>
      </w:r>
    </w:p>
    <w:p w:rsidR="005F2307" w:rsidRPr="00844120" w:rsidRDefault="005F2307" w:rsidP="005F2307">
      <w:pPr>
        <w:jc w:val="both"/>
      </w:pPr>
    </w:p>
    <w:p w:rsidR="005F2307" w:rsidRPr="00844120" w:rsidRDefault="005F2307" w:rsidP="00844120">
      <w:pPr>
        <w:pStyle w:val="Akapitzlist"/>
        <w:numPr>
          <w:ilvl w:val="0"/>
          <w:numId w:val="11"/>
        </w:numPr>
        <w:suppressAutoHyphens w:val="0"/>
        <w:jc w:val="both"/>
      </w:pPr>
      <w:r w:rsidRPr="00844120">
        <w:t>Czy Zamawiający wyrazi zgodę na zaoferowanie w Części 19 w poz. 19 urządzenia przelewowego kompatybilnego z oferowanymi powyżej opakowaniami?</w:t>
      </w:r>
    </w:p>
    <w:p w:rsidR="005F2307" w:rsidRPr="00844120" w:rsidRDefault="005F2307" w:rsidP="005F2307">
      <w:pPr>
        <w:ind w:left="360"/>
        <w:jc w:val="both"/>
      </w:pPr>
      <w:r w:rsidRPr="00844120">
        <w:t>Odp.: Zamawiający dopuszcza</w:t>
      </w:r>
    </w:p>
    <w:p w:rsidR="005F2307" w:rsidRPr="00844120" w:rsidRDefault="005F2307" w:rsidP="005F2307">
      <w:pPr>
        <w:ind w:left="360"/>
        <w:jc w:val="both"/>
      </w:pPr>
    </w:p>
    <w:p w:rsidR="005F2307" w:rsidRPr="00844120" w:rsidRDefault="005F2307" w:rsidP="00844120">
      <w:pPr>
        <w:numPr>
          <w:ilvl w:val="0"/>
          <w:numId w:val="11"/>
        </w:numPr>
        <w:suppressAutoHyphens w:val="0"/>
        <w:jc w:val="both"/>
      </w:pPr>
      <w:r w:rsidRPr="00844120">
        <w:t>Czy Zamawiający wyrazi zgodę na zaoferowanie w Części 19 w poz. 20 sterylnego przyrządu Ekstra Spike Plus KabiPac do wielokrotnego pobierania lub wstrzykiwania płynów do /z fiolek i butelek, posiadający ostry kolec wprowadzony do fiolki lub butelki zabezpieczony sterylną osłonką końcówką Luer Lock osłoniętej komorą otwieraną i zamykaną jednoręcznie w formie zatrzaskowej, zintegrowany filtr przeciwbakteryjny o dużej powierzchni, bez zastawki zwrotnej, który jest kompatybilny ze wszystkimi opakowaniami stojącymi dostępnymi na rynku polskim?</w:t>
      </w:r>
    </w:p>
    <w:p w:rsidR="005F2307" w:rsidRPr="00844120" w:rsidRDefault="005F2307" w:rsidP="005F2307">
      <w:pPr>
        <w:ind w:left="360"/>
        <w:jc w:val="both"/>
      </w:pPr>
      <w:r w:rsidRPr="00844120">
        <w:t>Odp.: Zamawiający dopuszcza</w:t>
      </w:r>
    </w:p>
    <w:p w:rsidR="005F2307" w:rsidRPr="00844120" w:rsidRDefault="005F2307" w:rsidP="005F2307">
      <w:pPr>
        <w:ind w:left="720"/>
        <w:rPr>
          <w:b/>
        </w:rPr>
      </w:pPr>
    </w:p>
    <w:p w:rsidR="005F2307" w:rsidRPr="00844120" w:rsidRDefault="005F2307" w:rsidP="005F2307">
      <w:pPr>
        <w:ind w:left="720"/>
        <w:rPr>
          <w:b/>
        </w:rPr>
      </w:pPr>
      <w:r w:rsidRPr="00844120">
        <w:rPr>
          <w:b/>
        </w:rPr>
        <w:t xml:space="preserve">Pytanie dot. Części 13 </w:t>
      </w:r>
    </w:p>
    <w:p w:rsidR="005F2307" w:rsidRPr="00844120" w:rsidRDefault="005F2307" w:rsidP="005F2307">
      <w:pPr>
        <w:ind w:left="720"/>
        <w:rPr>
          <w:b/>
        </w:rPr>
      </w:pPr>
    </w:p>
    <w:p w:rsidR="005F2307" w:rsidRPr="00844120" w:rsidRDefault="005F2307" w:rsidP="00844120">
      <w:pPr>
        <w:pStyle w:val="Akapitzlist"/>
        <w:numPr>
          <w:ilvl w:val="0"/>
          <w:numId w:val="11"/>
        </w:numPr>
        <w:suppressAutoHyphens w:val="0"/>
      </w:pPr>
      <w:r w:rsidRPr="00844120">
        <w:t>Czy Zamawiający wyrazi zgodę na zaoferowanie w Części  Nr 13 poz. 1 – worka 3-komorowego Kabiven Peripheral do żywienia pozajelitowego do podawania obwodowo lub centralnie, zawierającego aminokwasy 34,0g, glukozę 97,0g, emulsję tłuszczową (olej sojowy) 51,0g, azot 5,4g i energię niebiałkową 900 kcal objętość 1440 ml?</w:t>
      </w:r>
    </w:p>
    <w:p w:rsidR="005F2307" w:rsidRPr="00844120" w:rsidRDefault="005F2307" w:rsidP="005F2307">
      <w:pPr>
        <w:suppressAutoHyphens w:val="0"/>
        <w:ind w:left="720"/>
      </w:pPr>
      <w:r w:rsidRPr="00844120">
        <w:t>Odp.: Zgodnie z siwz</w:t>
      </w:r>
    </w:p>
    <w:p w:rsidR="005F2307" w:rsidRPr="00844120" w:rsidRDefault="005F2307" w:rsidP="005F2307">
      <w:pPr>
        <w:ind w:left="1080"/>
      </w:pPr>
    </w:p>
    <w:p w:rsidR="005F2307" w:rsidRPr="00844120" w:rsidRDefault="005F2307" w:rsidP="00844120">
      <w:pPr>
        <w:numPr>
          <w:ilvl w:val="0"/>
          <w:numId w:val="11"/>
        </w:numPr>
        <w:suppressAutoHyphens w:val="0"/>
      </w:pPr>
      <w:r w:rsidRPr="00844120">
        <w:t>Czy Zamawiający wyrazi zgodę na zaoferowanie w Części Nr 13 poz. 2 worka 3-komorowego Kabiven  do żywienia pozajelitowego do podawania centralnie, zawierającego aminokwasy 51,0g, glukozę 150,0g, emulsję tłuszczową (olej sojowy) 60,0g, azot 8,1g i energię niebiałkową 1200 kcal objętość 1540 ml?</w:t>
      </w:r>
    </w:p>
    <w:p w:rsidR="005F2307" w:rsidRPr="00844120" w:rsidRDefault="005F2307" w:rsidP="005F2307">
      <w:pPr>
        <w:suppressAutoHyphens w:val="0"/>
        <w:ind w:left="720"/>
      </w:pPr>
      <w:r w:rsidRPr="00844120">
        <w:t xml:space="preserve"> Odp.: Zgodnie z siwz</w:t>
      </w:r>
    </w:p>
    <w:p w:rsidR="005F2307" w:rsidRPr="00844120" w:rsidRDefault="005F2307" w:rsidP="005F2307">
      <w:pPr>
        <w:ind w:left="142"/>
      </w:pPr>
    </w:p>
    <w:p w:rsidR="005F2307" w:rsidRPr="00844120" w:rsidRDefault="005F2307" w:rsidP="00844120">
      <w:pPr>
        <w:numPr>
          <w:ilvl w:val="0"/>
          <w:numId w:val="11"/>
        </w:numPr>
        <w:suppressAutoHyphens w:val="0"/>
      </w:pPr>
      <w:r w:rsidRPr="00844120">
        <w:t>Czy Zamawiający wyrazi zgodę na zaoferowanie w Części Nr 13 poz. 3 worka 3-komorowego SmofKabiven zawierającego 10% roztwór aminokwasów 75,0g z tauryną, 12g azotu, glukozę z elektrolitami i cynkiem oraz unikalną emulsję tłuszczową 56g (30% oleju sojowego, 30% MCT, 25% oleju z oliwek, 15% oleju rybiego) węglowodany 187g o energii pozabiałkowej 1300 kcal, pojemności 1477 ml?</w:t>
      </w:r>
    </w:p>
    <w:p w:rsidR="005F2307" w:rsidRPr="00844120" w:rsidRDefault="005F2307" w:rsidP="005F2307">
      <w:pPr>
        <w:ind w:left="502"/>
      </w:pPr>
    </w:p>
    <w:p w:rsidR="005F2307" w:rsidRPr="00844120" w:rsidRDefault="005F2307" w:rsidP="005F2307">
      <w:pPr>
        <w:suppressAutoHyphens w:val="0"/>
        <w:ind w:left="720"/>
      </w:pPr>
      <w:r w:rsidRPr="00844120">
        <w:t>Odp.: Zgodnie z siwz</w:t>
      </w:r>
    </w:p>
    <w:p w:rsidR="00844120" w:rsidRPr="00844120" w:rsidRDefault="00844120" w:rsidP="005F2307">
      <w:pPr>
        <w:suppressAutoHyphens w:val="0"/>
        <w:ind w:left="720"/>
      </w:pPr>
    </w:p>
    <w:p w:rsidR="00844120" w:rsidRPr="00844120" w:rsidRDefault="00844120" w:rsidP="005F2307">
      <w:pPr>
        <w:suppressAutoHyphens w:val="0"/>
        <w:ind w:left="720"/>
      </w:pPr>
    </w:p>
    <w:p w:rsidR="00844120" w:rsidRDefault="00844120" w:rsidP="00844120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844120">
        <w:rPr>
          <w:lang w:eastAsia="pl-PL"/>
        </w:rPr>
        <w:t xml:space="preserve">Dotyczy pakietu nr 3 poz. 3 i 4. Uprzejmie prosimy o wydzielenie powyższych pozycji celem zaoferowania korzystniejszej  cenowo oferty </w:t>
      </w:r>
    </w:p>
    <w:p w:rsidR="00844120" w:rsidRPr="00844120" w:rsidRDefault="00844120" w:rsidP="00844120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lastRenderedPageBreak/>
        <w:t>Odp.: Zamawia</w:t>
      </w:r>
      <w:r w:rsidR="00B15583">
        <w:rPr>
          <w:lang w:eastAsia="pl-PL"/>
        </w:rPr>
        <w:t>j</w:t>
      </w:r>
      <w:r>
        <w:rPr>
          <w:lang w:eastAsia="pl-PL"/>
        </w:rPr>
        <w:t>ący nie wyraża zgody</w:t>
      </w:r>
    </w:p>
    <w:p w:rsidR="00844120" w:rsidRPr="00844120" w:rsidRDefault="00844120" w:rsidP="00844120">
      <w:pPr>
        <w:snapToGrid w:val="0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844120">
        <w:rPr>
          <w:lang w:eastAsia="pl-PL"/>
        </w:rPr>
        <w:t>Dotyczy pakietu nr 3 poz. 86. Czy Zamawiający dopuści wycenę leku z terminem przydatności X.2019r? Jest to ostatnia dostępna i wyprodukowana na rynek Polski  partia tego leku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dopuszcza</w:t>
      </w:r>
    </w:p>
    <w:p w:rsidR="00B15583" w:rsidRPr="00844120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844120">
        <w:rPr>
          <w:lang w:eastAsia="pl-PL"/>
        </w:rPr>
        <w:t xml:space="preserve">Dotyczy pakietu nr 4 poz. 22.  Czy Zamawiający wymaga, aby zgodnie z treścią Charakterystyki Produktu  Leczniczego, zaoferowany produkt ImipenemCilastatin posiadał stabilność  po rozpuszczeniu do 2 godzin, co pozwoli na bezpieczne przeprowadzenie  infuzji dożylnej? 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nie stawia dodatkowych wymagań, dopuszcza zaoferowanie w/w produktu o takich właściwościach</w:t>
      </w:r>
    </w:p>
    <w:p w:rsidR="00B15583" w:rsidRPr="00844120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844120">
        <w:rPr>
          <w:lang w:eastAsia="pl-PL"/>
        </w:rPr>
        <w:t>Dotyczy pakietu nr 4 poz. 22.   Czy Zamawiający wymaga, aby zgodnie z treścią Charakterystyki Produktu  Leczniczego, zaoferowany produkt ImipenemCilastatin posiadał możliwość  przygotowania roztworu do infuzji z wykorzystaniem 0,9% roztworu chlorku  sodu oraz/i z wykorzystaniem 5% roztworu glukozy?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nie stawia dodatkowych wymagań, dopuszcza zaoferowanie w/w produktu o takich właściwościach</w:t>
      </w:r>
    </w:p>
    <w:p w:rsidR="00B15583" w:rsidRPr="00844120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844120">
        <w:rPr>
          <w:lang w:eastAsia="pl-PL"/>
        </w:rPr>
        <w:t>Dotyczy pakietu nr 4 poz. 11. Czy Zamawiający wymaga, aby zgodnie z treścią Charakterystyki Produktu  Leczniczego, preparat Meropenem posiadał stabilność gotowego roztworu do  infuzji rozpuszczonego w NaCl 0,9%: 3 godziny w temperaturze 15-25°C i 24 godziny w temperaturze 2-8°C, a w przypadku rozpuszczenia produktu w glukozie 5%: 1 godz w temp. 25ºC i 8 godzin w temp.  2-8ºC, co pozwoli na bezpieczne przeprowadzenie infuzji dożylnej?</w:t>
      </w:r>
    </w:p>
    <w:p w:rsidR="00B15583" w:rsidRDefault="00B15583" w:rsidP="00B15583">
      <w:pPr>
        <w:pStyle w:val="Akapitzlist"/>
        <w:rPr>
          <w:lang w:eastAsia="pl-PL"/>
        </w:rPr>
      </w:pP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nie stawia dodatkowych wymagań, dopuszcza zaoferowanie w/w produktu o takich właściwościach</w:t>
      </w:r>
    </w:p>
    <w:p w:rsidR="00B15583" w:rsidRPr="00844120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844120">
        <w:rPr>
          <w:lang w:eastAsia="pl-PL"/>
        </w:rPr>
        <w:t>Dotyczy pakietu nr 5 poz. 43. Czy Zamawiający dopuści  wycenę 24 opakowań preparatu Makrogol  74 g  x 48 saszetek, który jest jedynym preparatem rekomendowanym przez Europejskie Towarzystwo Endoskopii Przewodu Pokarmowego (ESGE) w rutynowym przygotowaniu do kolonoskopii , którego oferta cenowa jest korzystna dla Zamawiającego? Z góry dziękujemy za pozytywną odpowiedź na nasze pytanie. W przypadku odpowiedzi negatywnej prosimy o dołączenie  uzasadnienia merytorycznego.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Zgodnie z siwz</w:t>
      </w:r>
    </w:p>
    <w:p w:rsidR="00B15583" w:rsidRPr="00844120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844120">
        <w:rPr>
          <w:lang w:eastAsia="pl-PL"/>
        </w:rPr>
        <w:t>Dotyczy pakietu nr 5 poz. 218. Czy Zamawiający dopuści wycenę preparatu o nazwie handlowej Enema,roztw.dowl.doodbytn, 150 ml?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 xml:space="preserve">Odp.: Zamawiający dopuszcza </w:t>
      </w:r>
    </w:p>
    <w:p w:rsidR="00B15583" w:rsidRPr="00844120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B15583">
        <w:rPr>
          <w:lang w:eastAsia="pl-PL"/>
        </w:rPr>
        <w:t>Dotyczy pakietu nr 5 poz. 135. Czy Zamawiający dopuści wycenę preparatu równoważnego o nazwie handlowej Lubragel, żel, sterylny, z lidokainą,11 ml, 25 strzyk.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dopuszcza</w:t>
      </w:r>
    </w:p>
    <w:p w:rsidR="00B15583" w:rsidRPr="00B15583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B15583">
        <w:rPr>
          <w:lang w:eastAsia="pl-PL"/>
        </w:rPr>
        <w:t xml:space="preserve">Dotyczy pakietu nr 5 poz. 213 i 214. Czy Zamawiający dopuści wycenę  preparatu równoważnego Benodil celem zaoferowania korzystniejszej  cenowo oferty? </w:t>
      </w:r>
    </w:p>
    <w:p w:rsidR="00B15583" w:rsidRP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lastRenderedPageBreak/>
        <w:t>Odp.: Zamawiający dopuszcza</w:t>
      </w:r>
    </w:p>
    <w:p w:rsidR="00844120" w:rsidRPr="00B15583" w:rsidRDefault="00844120" w:rsidP="00844120">
      <w:pPr>
        <w:snapToGrid w:val="0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B15583">
        <w:rPr>
          <w:lang w:eastAsia="pl-PL"/>
        </w:rPr>
        <w:t>Dotyczy pakietu nr 5 poz. 124. Proszę o dopuszczenie wyceny preparatu Lioton 1000, 8,5 mg/g (1000 j.m.)/g, żel, 30 g, który ma to samo działanie. Pozwoli to na złożenie korzystniejszej oferty.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Zgodnie z siwz. Zamawiający dopuszcza preparaty równoważne zgodnie z definicja równoważności zawartą w pkt 3.8 siwz.</w:t>
      </w:r>
    </w:p>
    <w:p w:rsidR="00B15583" w:rsidRPr="00B15583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B15583">
        <w:rPr>
          <w:lang w:eastAsia="pl-PL"/>
        </w:rPr>
        <w:t>Dotyczy pakietu nr 5 poz. 270. Czy Zamawiający dopuści wycenę preparatu Atimos, 12 mcg/dawkę, aer.inhal.,120 dawek?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dopuszcza</w:t>
      </w:r>
    </w:p>
    <w:p w:rsidR="00B15583" w:rsidRPr="00B15583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B15583">
        <w:rPr>
          <w:lang w:eastAsia="pl-PL"/>
        </w:rPr>
        <w:t>Dotyczy pakietu nr 5 poz. 108. Proszę o dopuszczenie wyceny preparatu o nazwie handlowej Uman Big 180j.m./ml.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dopuszcza</w:t>
      </w:r>
    </w:p>
    <w:p w:rsidR="00B15583" w:rsidRPr="00B15583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B15583">
        <w:rPr>
          <w:lang w:eastAsia="pl-PL"/>
        </w:rPr>
        <w:t>Dotyczy pakietu nr 5 poz. 172. Czy Zamawiający dopuści  wycenę 2 opakowań preparatu Makrogol  74 g  x 48 saszetek, który jest jedynym preparatem rekomendowanym przez Europejskie Towarzystwo Endoskopii Przewodu Pokarmowego (ESGE) w rutynowym przygotowaniu do kolonoskopii , którego oferta cenowa jest korzystna dla Zamawiającego? Z góry dziękujemy za pozytywną odpowiedź na nasze pytanie. W przypadku odpowiedzi negatywnej prosimy o dołączenie  uzasadnienia merytorycznego.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dopuszcza</w:t>
      </w:r>
    </w:p>
    <w:p w:rsidR="00B15583" w:rsidRPr="00B15583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snapToGrid w:val="0"/>
        <w:rPr>
          <w:lang w:eastAsia="pl-PL"/>
        </w:rPr>
      </w:pPr>
      <w:r w:rsidRPr="00B15583">
        <w:rPr>
          <w:lang w:eastAsia="pl-PL"/>
        </w:rPr>
        <w:t>Dotyczy pakietu nr 5 poz. 260. Proszę o dopuszczenie wyceny w ramach ww. pozycji dwóch pozycji tj. Spriva x 90 kapsułek 2  opak. oraz HandiHaler x1 szt  w ilości 6 szt. (na 1 op. x 90 sztTiotropium przypadają 3 HandiHalery). Jest to spowodowane rejestracją leku (Spriva x 90 kaps. zarejestrowana jest bez HandiHalera) oraz faktem, iż w przypadku sprzedaży na fakturze będą widoczne jako dwie oddzielne pozycje.</w:t>
      </w:r>
    </w:p>
    <w:p w:rsidR="00B15583" w:rsidRDefault="00B15583" w:rsidP="00B15583">
      <w:pPr>
        <w:pStyle w:val="Akapitzlist"/>
        <w:snapToGrid w:val="0"/>
        <w:ind w:left="502"/>
        <w:rPr>
          <w:lang w:eastAsia="pl-PL"/>
        </w:rPr>
      </w:pPr>
      <w:r>
        <w:rPr>
          <w:lang w:eastAsia="pl-PL"/>
        </w:rPr>
        <w:t>Odp.: Zamawiający dopuszcza</w:t>
      </w:r>
    </w:p>
    <w:p w:rsidR="00B15583" w:rsidRPr="00B15583" w:rsidRDefault="00B15583" w:rsidP="00B15583">
      <w:pPr>
        <w:pStyle w:val="Akapitzlist"/>
        <w:snapToGrid w:val="0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rPr>
          <w:lang w:eastAsia="pl-PL"/>
        </w:rPr>
      </w:pPr>
      <w:r w:rsidRPr="00B15583">
        <w:rPr>
          <w:lang w:eastAsia="pl-PL"/>
        </w:rPr>
        <w:t xml:space="preserve">Dotyczy pakietu nr 6 poz. 16 Czy Zamawiający dopuści wycenę  preparatu równoważnego </w:t>
      </w:r>
      <w:r w:rsidRPr="00B15583">
        <w:rPr>
          <w:color w:val="222222"/>
          <w:lang w:eastAsia="pl-PL"/>
        </w:rPr>
        <w:t>DexmedetomidineEver Ph.,100mcg/ml; 2ml,inj,25amp</w:t>
      </w:r>
      <w:r w:rsidRPr="00B15583">
        <w:rPr>
          <w:lang w:eastAsia="pl-PL"/>
        </w:rPr>
        <w:t>celem zaoferowania korzystniejszej  cenowo oferty?</w:t>
      </w:r>
    </w:p>
    <w:p w:rsidR="00B15583" w:rsidRDefault="00B15583" w:rsidP="00B15583">
      <w:pPr>
        <w:pStyle w:val="Akapitzlist"/>
        <w:ind w:left="502"/>
        <w:rPr>
          <w:lang w:eastAsia="pl-PL"/>
        </w:rPr>
      </w:pPr>
      <w:r>
        <w:rPr>
          <w:lang w:eastAsia="pl-PL"/>
        </w:rPr>
        <w:t>Odp.: Zamawiający dopuszcza</w:t>
      </w:r>
    </w:p>
    <w:p w:rsidR="00B15583" w:rsidRPr="00B15583" w:rsidRDefault="00B15583" w:rsidP="00B15583">
      <w:pPr>
        <w:pStyle w:val="Akapitzlist"/>
        <w:ind w:left="502"/>
        <w:rPr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rPr>
          <w:color w:val="222222"/>
          <w:lang w:eastAsia="pl-PL"/>
        </w:rPr>
      </w:pPr>
      <w:r w:rsidRPr="00B15583">
        <w:rPr>
          <w:color w:val="222222"/>
          <w:lang w:eastAsia="pl-PL"/>
        </w:rPr>
        <w:t>Dotyczy pakietu nr 6 poz. 72. Czy Zamawiający dopuści wycenę Terlipressiniacetas EVER Pharma,0,2mg/ml; 5ml,rozt.d/wst,5f ?</w:t>
      </w:r>
    </w:p>
    <w:p w:rsidR="00B15583" w:rsidRDefault="00B15583" w:rsidP="00B15583">
      <w:pPr>
        <w:pStyle w:val="Akapitzlist"/>
        <w:ind w:left="502"/>
        <w:rPr>
          <w:color w:val="222222"/>
          <w:lang w:eastAsia="pl-PL"/>
        </w:rPr>
      </w:pPr>
      <w:r>
        <w:rPr>
          <w:color w:val="222222"/>
          <w:lang w:eastAsia="pl-PL"/>
        </w:rPr>
        <w:t>Odp.: Zamawiający dopuszcza</w:t>
      </w:r>
    </w:p>
    <w:p w:rsidR="00B15583" w:rsidRPr="00B15583" w:rsidRDefault="00B15583" w:rsidP="00B15583">
      <w:pPr>
        <w:pStyle w:val="Akapitzlist"/>
        <w:ind w:left="502"/>
        <w:rPr>
          <w:color w:val="222222"/>
          <w:lang w:eastAsia="pl-PL"/>
        </w:rPr>
      </w:pPr>
    </w:p>
    <w:p w:rsidR="00844120" w:rsidRDefault="00844120" w:rsidP="00B15583">
      <w:pPr>
        <w:pStyle w:val="Akapitzlist"/>
        <w:numPr>
          <w:ilvl w:val="0"/>
          <w:numId w:val="11"/>
        </w:numPr>
        <w:rPr>
          <w:color w:val="222222"/>
          <w:lang w:eastAsia="pl-PL"/>
        </w:rPr>
      </w:pPr>
      <w:r w:rsidRPr="00B15583">
        <w:rPr>
          <w:color w:val="222222"/>
          <w:lang w:eastAsia="pl-PL"/>
        </w:rPr>
        <w:t>Dotyczy pakietu nr 6 poz. 85 i 84. (1) Czy Zamawiający wymaga, aby leki w poz. 84 i 85 pochodziły od jednego producenta? (2) Czy Zamawiający dopuści wycenę preparatu AtosibanEver</w:t>
      </w:r>
    </w:p>
    <w:p w:rsidR="00170F84" w:rsidRDefault="00170F84" w:rsidP="00170F84">
      <w:pPr>
        <w:pStyle w:val="Akapitzlist"/>
        <w:ind w:left="502"/>
        <w:rPr>
          <w:color w:val="222222"/>
          <w:lang w:eastAsia="pl-PL"/>
        </w:rPr>
      </w:pPr>
      <w:r>
        <w:rPr>
          <w:color w:val="222222"/>
          <w:lang w:eastAsia="pl-PL"/>
        </w:rPr>
        <w:t>Odp.: (1) Zamawiający nie stawia dodatkowych wymagań, dopuszcza zaoferowanie produktu od jednego producenta. Odp.: (2) Zamawiający dopuszcza</w:t>
      </w:r>
    </w:p>
    <w:p w:rsidR="00170F84" w:rsidRPr="00B15583" w:rsidRDefault="00170F84" w:rsidP="00170F84">
      <w:pPr>
        <w:pStyle w:val="Akapitzlist"/>
        <w:ind w:left="502"/>
        <w:rPr>
          <w:color w:val="222222"/>
          <w:lang w:eastAsia="pl-PL"/>
        </w:rPr>
      </w:pPr>
    </w:p>
    <w:p w:rsidR="00844120" w:rsidRDefault="00844120" w:rsidP="00170F84">
      <w:pPr>
        <w:pStyle w:val="Akapitzlist"/>
        <w:numPr>
          <w:ilvl w:val="0"/>
          <w:numId w:val="11"/>
        </w:numPr>
        <w:rPr>
          <w:color w:val="222222"/>
          <w:lang w:eastAsia="pl-PL"/>
        </w:rPr>
      </w:pPr>
      <w:r w:rsidRPr="00170F84">
        <w:rPr>
          <w:color w:val="222222"/>
          <w:lang w:eastAsia="pl-PL"/>
        </w:rPr>
        <w:t>Dotyczy pakietu nr 6 poz. 75. W związku z zakończeniem produkcji, proszę o wykreślenie lub wydzielenie do odrębnego pakietu.</w:t>
      </w:r>
    </w:p>
    <w:p w:rsidR="00170F84" w:rsidRPr="00170F84" w:rsidRDefault="00170F84" w:rsidP="00170F84">
      <w:pPr>
        <w:pStyle w:val="Akapitzlist"/>
        <w:ind w:left="502"/>
        <w:rPr>
          <w:color w:val="222222"/>
          <w:lang w:eastAsia="pl-PL"/>
        </w:rPr>
      </w:pPr>
      <w:r>
        <w:rPr>
          <w:color w:val="222222"/>
          <w:lang w:eastAsia="pl-PL"/>
        </w:rPr>
        <w:t>Odp.: Należy podać ostatnią cenę</w:t>
      </w:r>
    </w:p>
    <w:p w:rsidR="00844120" w:rsidRDefault="00844120" w:rsidP="00170F84">
      <w:pPr>
        <w:pStyle w:val="Akapitzlist"/>
        <w:numPr>
          <w:ilvl w:val="0"/>
          <w:numId w:val="11"/>
        </w:numPr>
        <w:rPr>
          <w:color w:val="222222"/>
          <w:lang w:eastAsia="pl-PL"/>
        </w:rPr>
      </w:pPr>
      <w:r w:rsidRPr="00170F84">
        <w:rPr>
          <w:color w:val="222222"/>
          <w:lang w:eastAsia="pl-PL"/>
        </w:rPr>
        <w:lastRenderedPageBreak/>
        <w:t>Dotyczy pakietu nr 6 poz. 77. W związku z zakończeniem produkcji, proszę o wykreślenie lub wydzielenie do odrębnego pakietu.</w:t>
      </w:r>
    </w:p>
    <w:p w:rsidR="00170F84" w:rsidRDefault="00170F84" w:rsidP="00170F84">
      <w:pPr>
        <w:pStyle w:val="Akapitzlist"/>
        <w:ind w:left="502"/>
        <w:rPr>
          <w:color w:val="222222"/>
          <w:lang w:eastAsia="pl-PL"/>
        </w:rPr>
      </w:pPr>
      <w:r>
        <w:rPr>
          <w:color w:val="222222"/>
          <w:lang w:eastAsia="pl-PL"/>
        </w:rPr>
        <w:t>Odp.: Należy podać ostatnią cenę</w:t>
      </w:r>
    </w:p>
    <w:p w:rsidR="00170F84" w:rsidRPr="00170F84" w:rsidRDefault="00170F84" w:rsidP="00170F84">
      <w:pPr>
        <w:pStyle w:val="Akapitzlist"/>
        <w:ind w:left="502"/>
        <w:rPr>
          <w:color w:val="222222"/>
          <w:lang w:eastAsia="pl-PL"/>
        </w:rPr>
      </w:pPr>
    </w:p>
    <w:p w:rsidR="00844120" w:rsidRDefault="00844120" w:rsidP="00170F84">
      <w:pPr>
        <w:pStyle w:val="Akapitzlist"/>
        <w:numPr>
          <w:ilvl w:val="0"/>
          <w:numId w:val="11"/>
        </w:numPr>
        <w:rPr>
          <w:color w:val="222222"/>
          <w:lang w:eastAsia="pl-PL"/>
        </w:rPr>
      </w:pPr>
      <w:r w:rsidRPr="00170F84">
        <w:rPr>
          <w:color w:val="222222"/>
          <w:lang w:eastAsia="pl-PL"/>
        </w:rPr>
        <w:t>Dotyczy pakietu nr 6 poz. 37. Czy Zamawiający dopuści wycenę preparatu Etomidate-Lipuro,20 mg/10 ml,emuls.do wstrz.,10amp</w:t>
      </w:r>
    </w:p>
    <w:p w:rsidR="00170F84" w:rsidRDefault="00170F84" w:rsidP="00170F84">
      <w:pPr>
        <w:pStyle w:val="Akapitzlist"/>
        <w:ind w:left="502"/>
        <w:rPr>
          <w:color w:val="222222"/>
          <w:lang w:eastAsia="pl-PL"/>
        </w:rPr>
      </w:pPr>
      <w:r>
        <w:rPr>
          <w:color w:val="222222"/>
          <w:lang w:eastAsia="pl-PL"/>
        </w:rPr>
        <w:t xml:space="preserve">Odp.: Zamawiający dopuszcza </w:t>
      </w:r>
    </w:p>
    <w:p w:rsidR="00170F84" w:rsidRPr="00170F84" w:rsidRDefault="00170F84" w:rsidP="00170F84">
      <w:pPr>
        <w:pStyle w:val="Akapitzlist"/>
        <w:ind w:left="502"/>
        <w:rPr>
          <w:color w:val="222222"/>
          <w:lang w:eastAsia="pl-PL"/>
        </w:rPr>
      </w:pPr>
    </w:p>
    <w:p w:rsidR="00844120" w:rsidRDefault="00844120" w:rsidP="00170F84">
      <w:pPr>
        <w:pStyle w:val="Akapitzlist"/>
        <w:numPr>
          <w:ilvl w:val="0"/>
          <w:numId w:val="11"/>
        </w:numPr>
        <w:rPr>
          <w:color w:val="222222"/>
          <w:lang w:eastAsia="pl-PL"/>
        </w:rPr>
      </w:pPr>
      <w:r w:rsidRPr="00170F84">
        <w:rPr>
          <w:color w:val="222222"/>
          <w:lang w:eastAsia="pl-PL"/>
        </w:rPr>
        <w:t>Dotyczy pakietu nr 6 poz. 10. W związku z zakończeniem produkcji, proszę o wykreślenie lub wydzielenie do odrębnego pakietu.</w:t>
      </w:r>
    </w:p>
    <w:p w:rsidR="00170F84" w:rsidRDefault="00170F84" w:rsidP="00170F84">
      <w:pPr>
        <w:pStyle w:val="Akapitzlist"/>
        <w:ind w:left="502"/>
        <w:rPr>
          <w:color w:val="222222"/>
          <w:lang w:eastAsia="pl-PL"/>
        </w:rPr>
      </w:pPr>
      <w:r>
        <w:rPr>
          <w:color w:val="222222"/>
          <w:lang w:eastAsia="pl-PL"/>
        </w:rPr>
        <w:t>Odp.: Należy podać ostatnią cenę</w:t>
      </w:r>
    </w:p>
    <w:p w:rsidR="00170F84" w:rsidRPr="00170F84" w:rsidRDefault="00170F84" w:rsidP="00170F84">
      <w:pPr>
        <w:pStyle w:val="Akapitzlist"/>
        <w:ind w:left="502"/>
        <w:rPr>
          <w:color w:val="222222"/>
          <w:lang w:eastAsia="pl-PL"/>
        </w:rPr>
      </w:pPr>
    </w:p>
    <w:p w:rsidR="00844120" w:rsidRDefault="00844120" w:rsidP="00170F84">
      <w:pPr>
        <w:pStyle w:val="Akapitzlist"/>
        <w:numPr>
          <w:ilvl w:val="0"/>
          <w:numId w:val="11"/>
        </w:numPr>
        <w:rPr>
          <w:color w:val="222222"/>
          <w:lang w:eastAsia="pl-PL"/>
        </w:rPr>
      </w:pPr>
      <w:r w:rsidRPr="00170F84">
        <w:rPr>
          <w:color w:val="222222"/>
          <w:lang w:eastAsia="pl-PL"/>
        </w:rPr>
        <w:t>Dotyczy pakietu nr 6 poz. 48 W związku z zakończeniem produkcji, proszę o wykreślenie lub wydzielenie do odrębnego pakietu.</w:t>
      </w:r>
    </w:p>
    <w:p w:rsidR="00170F84" w:rsidRDefault="00170F84" w:rsidP="00170F84">
      <w:pPr>
        <w:pStyle w:val="Akapitzlist"/>
        <w:ind w:left="502"/>
        <w:rPr>
          <w:color w:val="222222"/>
          <w:lang w:eastAsia="pl-PL"/>
        </w:rPr>
      </w:pPr>
      <w:r>
        <w:rPr>
          <w:color w:val="222222"/>
          <w:lang w:eastAsia="pl-PL"/>
        </w:rPr>
        <w:t>Odp.: Należy podać ostatnią cenę</w:t>
      </w:r>
    </w:p>
    <w:p w:rsidR="00A87A63" w:rsidRDefault="00A87A63" w:rsidP="00170F84">
      <w:pPr>
        <w:pStyle w:val="Akapitzlist"/>
        <w:ind w:left="502"/>
        <w:rPr>
          <w:color w:val="222222"/>
          <w:lang w:eastAsia="pl-PL"/>
        </w:rPr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rPr>
          <w:sz w:val="22"/>
          <w:szCs w:val="22"/>
        </w:rPr>
        <w:t xml:space="preserve">Zamawiający zastrzega sobie możliwość zmian ilościowych przedmiotu umowy, ale nie </w:t>
      </w:r>
      <w:r w:rsidRPr="00A87A63">
        <w:t>określił ich warunków, m.in. nie wskazał w jakich okolicznościach zmiana mogłaby mieć miejsce, nie wskazał w żaden sposób granic zmian ilościowych odnośnie  pozycji itp. Zgodnie z art. 144 ust.2, w związku z art. 144 ust. 1-1b, 1d, 1e Ustawy PZP, brak określenia warunków zmiany umowy będzie przesądzać o nieważności zapisów Art.2 ust.6,7  umowy. Czy z związku z tym, Zamawiający odstąpi od tych zapisów w umowie?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rPr>
          <w:sz w:val="22"/>
          <w:szCs w:val="22"/>
        </w:rPr>
        <w:t>Odp.: Zgodnie z siwz</w:t>
      </w:r>
    </w:p>
    <w:p w:rsidR="00A87A63" w:rsidRPr="00A87A63" w:rsidRDefault="00A87A63" w:rsidP="00A87A63">
      <w:pPr>
        <w:pStyle w:val="Akapitzlist"/>
        <w:suppressAutoHyphens w:val="0"/>
        <w:jc w:val="both"/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t xml:space="preserve">Do Art. 3 ust.9 projektu umowy. Prosimy o zmianę zapisu poprzez nadanie mu brzmienia, że w przypadku odstąpienia od refundacji leków, środków spożywczych specjalnego przeznaczenia żywieniowego oraz wyrobów medycznych cena zakupu leku będzie dostosowana do aktualnie obowiązującej ceny urzędowej. 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t xml:space="preserve">Odp.: </w:t>
      </w:r>
      <w:r>
        <w:rPr>
          <w:sz w:val="22"/>
          <w:szCs w:val="22"/>
        </w:rPr>
        <w:t>Zgodnie z siwz</w:t>
      </w:r>
    </w:p>
    <w:p w:rsidR="00A87A63" w:rsidRPr="00A87A63" w:rsidRDefault="00A87A63" w:rsidP="00A87A63">
      <w:pPr>
        <w:pStyle w:val="Akapitzlist"/>
        <w:suppressAutoHyphens w:val="0"/>
        <w:jc w:val="both"/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t>Do treści §4 ust.1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§4 ust.1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t>Odp.: Zgodnie z siwz</w:t>
      </w:r>
    </w:p>
    <w:p w:rsidR="00A87A63" w:rsidRPr="00A87A63" w:rsidRDefault="00A87A63" w:rsidP="00A87A63">
      <w:pPr>
        <w:pStyle w:val="Akapitzlist"/>
        <w:suppressAutoHyphens w:val="0"/>
        <w:jc w:val="both"/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t>Do Art.5 ust.1 projektu umowy. Czy Zamawiający wyrazi zgodę na zmianę zapisu dotyczącego kar umownych za niedostarczenie w terminie zamówionej partii towaru poprzez wprowadzenie zapisu o karze w wysokości 1% wartości NIEDOSTARCZONEGO w terminie zamówienia za każdy rozpoczęty dzień zwłoki?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t>Odp.: Zgodnie z siwz</w:t>
      </w:r>
    </w:p>
    <w:p w:rsidR="00A87A63" w:rsidRPr="00A87A63" w:rsidRDefault="00A87A63" w:rsidP="00A87A63">
      <w:pPr>
        <w:pStyle w:val="Akapitzlist"/>
        <w:suppressAutoHyphens w:val="0"/>
        <w:jc w:val="both"/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lastRenderedPageBreak/>
        <w:t>Czy Zamawiający wyrazi zgodę na zmianę zapisów umowy w Art.5 ust.2 poprzez zapis o ewentualnej karze za odstąpienie od umowy w wysokości 10% wartości brutto NIEZREALIZOWANEJ części przedmiotu umowy?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t xml:space="preserve">Odp.: </w:t>
      </w:r>
      <w:r>
        <w:rPr>
          <w:sz w:val="22"/>
          <w:szCs w:val="22"/>
        </w:rPr>
        <w:t>Zgodnie z siwz</w:t>
      </w:r>
    </w:p>
    <w:p w:rsidR="00A87A63" w:rsidRPr="00A87A63" w:rsidRDefault="00A87A63" w:rsidP="00A87A63">
      <w:pPr>
        <w:pStyle w:val="Akapitzlist"/>
        <w:suppressAutoHyphens w:val="0"/>
        <w:jc w:val="both"/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t>Do treści Art.6 ust.5 projektu umowy prosimy o dodanie słów, zgodnych z przesłanką zawartą w art. 552 k.c. "... z wyłączeniem powołania się przez Wykonawcę na okoliczności, które zgodnie z przepisami prawa powszechnie obowiązującego uprawniają Sprzedającego do odmowy dostarczenia towaru Kupującemu."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t xml:space="preserve">Odp.: </w:t>
      </w:r>
      <w:r>
        <w:rPr>
          <w:sz w:val="22"/>
          <w:szCs w:val="22"/>
        </w:rPr>
        <w:t>Zgodnie z siwz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t xml:space="preserve"> Czy w przypadku wstrzymania produkcji lub wycofania z obrotu przedmiotu umowy i braku możliwości dostarczenia zamiennika leku w cenie przetargowej (bo np. będzie to groziło rażącą startą dla Wykonawcy), Zamawiający wyrazi zgodę na sprzedaż w cenie zbliżonej do rynkowej lub na wyłączenie tego produktu z umowy bez konieczności ponoszenia kary przez Wykonawcę (dotyczy zapisów Art. Art. 8 ust.4 pkt 4.1  projektu umowy)?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t xml:space="preserve">Odp.: </w:t>
      </w:r>
      <w:r>
        <w:rPr>
          <w:sz w:val="22"/>
          <w:szCs w:val="22"/>
        </w:rPr>
        <w:t>Zgodnie z siwz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</w:pPr>
      <w:r w:rsidRPr="00A87A63">
        <w:t>. Czy w przypadku wstrzymania produkcji lub wycofania z obrotu przedmiotu umowy i braku możliwości dostarczenia zamiennika leku w cenie przetargowej (bo np. będzie to groziło rażącą startą dla Wykonawcy), Zamawiający wyrazi zgodę na sprzedaż w cenie zbliżonej do rynkowej lub na wyłączenie tego produktu z umowy bez konieczności ponoszenia kary przez Wykonawcę (dotyczy zapisów Art. 8 ust.4  ppkt 4.2.2  projektu umowy)?</w:t>
      </w:r>
    </w:p>
    <w:p w:rsidR="00A87A63" w:rsidRPr="00A87A63" w:rsidRDefault="00A87A63" w:rsidP="00A87A63">
      <w:pPr>
        <w:pStyle w:val="Akapitzlist"/>
        <w:suppressAutoHyphens w:val="0"/>
        <w:ind w:left="502"/>
        <w:jc w:val="both"/>
      </w:pPr>
      <w:r>
        <w:t xml:space="preserve">Odp.: </w:t>
      </w:r>
      <w:r>
        <w:rPr>
          <w:sz w:val="22"/>
          <w:szCs w:val="22"/>
        </w:rPr>
        <w:t>Zgodnie z siwz</w:t>
      </w:r>
    </w:p>
    <w:p w:rsidR="00A87A63" w:rsidRPr="00A87A63" w:rsidRDefault="00A87A63" w:rsidP="00A87A63">
      <w:pPr>
        <w:pStyle w:val="Akapitzlist"/>
        <w:suppressAutoHyphens w:val="0"/>
        <w:jc w:val="both"/>
        <w:rPr>
          <w:snapToGrid w:val="0"/>
          <w:lang w:eastAsia="pl-PL"/>
        </w:rPr>
      </w:pPr>
    </w:p>
    <w:p w:rsidR="00A87A63" w:rsidRDefault="00A87A63" w:rsidP="00A87A63">
      <w:pPr>
        <w:pStyle w:val="Akapitzlist"/>
        <w:numPr>
          <w:ilvl w:val="0"/>
          <w:numId w:val="11"/>
        </w:numPr>
        <w:suppressAutoHyphens w:val="0"/>
        <w:jc w:val="both"/>
        <w:rPr>
          <w:snapToGrid w:val="0"/>
          <w:lang w:eastAsia="pl-PL"/>
        </w:rPr>
      </w:pPr>
      <w:r w:rsidRPr="00A87A63">
        <w:rPr>
          <w:snapToGrid w:val="0"/>
          <w:lang w:eastAsia="pl-PL"/>
        </w:rPr>
        <w:t xml:space="preserve"> W związku z koniecznością złożenia dokumentu JEDZ w zaszyfrowanej postaci na podany przez Państwa w SIWZ adres e-mail oraz z potencjalną możliwością zaistnienia sytuacji, w której nasze zaszyfrowane wiadomości zostaną przez Państwa system uznane jako spam lub wirus, w oparciu o art. 10b. ustawy PZP prosimy o dodanie naszych domen do "white listy" w Państwa systemach zabezpieczeń, bądź też upewnienie się, że nasze domeny już na „white liście” u Państwa widnieją. </w:t>
      </w:r>
    </w:p>
    <w:p w:rsidR="00A87A63" w:rsidRPr="00A87A63" w:rsidRDefault="00365DCD" w:rsidP="00A87A63">
      <w:pPr>
        <w:pStyle w:val="Akapitzlist"/>
        <w:suppressAutoHyphens w:val="0"/>
        <w:ind w:left="502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Odp.: Zamawiający </w:t>
      </w:r>
      <w:r w:rsidR="00B13046">
        <w:rPr>
          <w:snapToGrid w:val="0"/>
          <w:lang w:eastAsia="pl-PL"/>
        </w:rPr>
        <w:t xml:space="preserve">potwierdza dodanie </w:t>
      </w:r>
      <w:r w:rsidR="00760D84">
        <w:rPr>
          <w:snapToGrid w:val="0"/>
          <w:lang w:eastAsia="pl-PL"/>
        </w:rPr>
        <w:t xml:space="preserve">wskazanych </w:t>
      </w:r>
      <w:r w:rsidR="00B13046">
        <w:rPr>
          <w:snapToGrid w:val="0"/>
          <w:lang w:eastAsia="pl-PL"/>
        </w:rPr>
        <w:t xml:space="preserve">domen </w:t>
      </w:r>
      <w:r w:rsidR="00B13046" w:rsidRPr="00A87A63">
        <w:rPr>
          <w:snapToGrid w:val="0"/>
          <w:lang w:eastAsia="pl-PL"/>
        </w:rPr>
        <w:t>do "white listy</w:t>
      </w:r>
      <w:r w:rsidR="00B13046">
        <w:rPr>
          <w:snapToGrid w:val="0"/>
          <w:lang w:eastAsia="pl-PL"/>
        </w:rPr>
        <w:t>” w systemach zabezpieczeń</w:t>
      </w:r>
    </w:p>
    <w:p w:rsidR="00A87A63" w:rsidRDefault="00A87A63" w:rsidP="00A87A63">
      <w:pPr>
        <w:pStyle w:val="Akapitzlist"/>
        <w:suppressAutoHyphens w:val="0"/>
        <w:jc w:val="both"/>
        <w:rPr>
          <w:snapToGrid w:val="0"/>
          <w:lang w:eastAsia="pl-PL"/>
        </w:rPr>
      </w:pPr>
      <w:r w:rsidRPr="00A87A63">
        <w:rPr>
          <w:snapToGrid w:val="0"/>
          <w:lang w:eastAsia="pl-PL"/>
        </w:rPr>
        <w:t>Prosimy też o niezwłoczne potwierdzenia otrzymania zaszyfrowanego dokumentu JEDZ. Z doświadczenia wiemy, iż informacja o tym, że nasz zaszyfrowany jedz do Zamawiającego nie dotarł niejednokrotnie przychodzi do nas już po terminie otwarcia ofert.</w:t>
      </w:r>
    </w:p>
    <w:p w:rsidR="00B13046" w:rsidRPr="00A87A63" w:rsidRDefault="00B13046" w:rsidP="00A87A63">
      <w:pPr>
        <w:pStyle w:val="Akapitzlist"/>
        <w:suppressAutoHyphens w:val="0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Odp.: Zamawiający potwierdzi niezwłocznie otrzymanie zaszyfrowanego dokumentu JEDZ</w:t>
      </w:r>
    </w:p>
    <w:p w:rsidR="00170F84" w:rsidRPr="00A87A63" w:rsidRDefault="00170F84" w:rsidP="00170F84">
      <w:pPr>
        <w:pStyle w:val="Akapitzlist"/>
        <w:ind w:left="502"/>
        <w:rPr>
          <w:color w:val="222222"/>
          <w:lang w:eastAsia="pl-PL"/>
        </w:rPr>
      </w:pPr>
    </w:p>
    <w:p w:rsidR="00266ACB" w:rsidRPr="00A87A63" w:rsidRDefault="00266ACB" w:rsidP="00266ACB">
      <w:pPr>
        <w:jc w:val="both"/>
      </w:pPr>
    </w:p>
    <w:p w:rsidR="00B966AD" w:rsidRPr="005721AF" w:rsidRDefault="00733D76" w:rsidP="00733D76">
      <w:pPr>
        <w:ind w:left="4320" w:firstLine="720"/>
        <w:jc w:val="right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Zamawiający</w:t>
      </w:r>
    </w:p>
    <w:sectPr w:rsidR="00B966AD" w:rsidRPr="005721AF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21381"/>
    <w:multiLevelType w:val="hybridMultilevel"/>
    <w:tmpl w:val="5ACE2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03F5"/>
    <w:multiLevelType w:val="multilevel"/>
    <w:tmpl w:val="181E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F21BD"/>
    <w:multiLevelType w:val="hybridMultilevel"/>
    <w:tmpl w:val="CD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10">
    <w:nsid w:val="2C69013A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20B31"/>
    <w:multiLevelType w:val="hybridMultilevel"/>
    <w:tmpl w:val="7B14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E44"/>
    <w:multiLevelType w:val="hybridMultilevel"/>
    <w:tmpl w:val="4E7EAD7C"/>
    <w:lvl w:ilvl="0" w:tplc="F252E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F4333"/>
    <w:multiLevelType w:val="hybridMultilevel"/>
    <w:tmpl w:val="6802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69C0"/>
    <w:multiLevelType w:val="hybridMultilevel"/>
    <w:tmpl w:val="B1E4236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D1B7C"/>
    <w:multiLevelType w:val="hybridMultilevel"/>
    <w:tmpl w:val="17D6B8C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B6D1E"/>
    <w:multiLevelType w:val="hybridMultilevel"/>
    <w:tmpl w:val="AA68F9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E2744"/>
    <w:multiLevelType w:val="hybridMultilevel"/>
    <w:tmpl w:val="5B8ED2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649D"/>
    <w:multiLevelType w:val="hybridMultilevel"/>
    <w:tmpl w:val="C2FCD5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18"/>
  </w:num>
  <w:num w:numId="10">
    <w:abstractNumId w:val="16"/>
  </w:num>
  <w:num w:numId="11">
    <w:abstractNumId w:val="12"/>
  </w:num>
  <w:num w:numId="12">
    <w:abstractNumId w:val="2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21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64F6"/>
    <w:rsid w:val="00011F06"/>
    <w:rsid w:val="0002696A"/>
    <w:rsid w:val="0003288A"/>
    <w:rsid w:val="00083479"/>
    <w:rsid w:val="000E765E"/>
    <w:rsid w:val="000F080F"/>
    <w:rsid w:val="000F74C9"/>
    <w:rsid w:val="00100F41"/>
    <w:rsid w:val="001261DE"/>
    <w:rsid w:val="0014278F"/>
    <w:rsid w:val="001524BD"/>
    <w:rsid w:val="00170F84"/>
    <w:rsid w:val="001A7126"/>
    <w:rsid w:val="001B7D9A"/>
    <w:rsid w:val="001C7374"/>
    <w:rsid w:val="001D6E5C"/>
    <w:rsid w:val="001E1B2F"/>
    <w:rsid w:val="00247E34"/>
    <w:rsid w:val="00260272"/>
    <w:rsid w:val="00266ACB"/>
    <w:rsid w:val="00281C5C"/>
    <w:rsid w:val="002845C6"/>
    <w:rsid w:val="00294B53"/>
    <w:rsid w:val="002A3C0F"/>
    <w:rsid w:val="002B3867"/>
    <w:rsid w:val="002E14C3"/>
    <w:rsid w:val="002E3192"/>
    <w:rsid w:val="002E5834"/>
    <w:rsid w:val="00320B53"/>
    <w:rsid w:val="0035623D"/>
    <w:rsid w:val="00365DCD"/>
    <w:rsid w:val="00385A9E"/>
    <w:rsid w:val="00392A14"/>
    <w:rsid w:val="00393963"/>
    <w:rsid w:val="003B6121"/>
    <w:rsid w:val="003D03A7"/>
    <w:rsid w:val="003D20BE"/>
    <w:rsid w:val="003D6AC2"/>
    <w:rsid w:val="0042579C"/>
    <w:rsid w:val="004835D5"/>
    <w:rsid w:val="00496FDE"/>
    <w:rsid w:val="004A1B06"/>
    <w:rsid w:val="004A3584"/>
    <w:rsid w:val="005027FE"/>
    <w:rsid w:val="00540F10"/>
    <w:rsid w:val="005C7302"/>
    <w:rsid w:val="005D1FB7"/>
    <w:rsid w:val="005D587E"/>
    <w:rsid w:val="005F2307"/>
    <w:rsid w:val="005F5E5C"/>
    <w:rsid w:val="006164F6"/>
    <w:rsid w:val="0062443C"/>
    <w:rsid w:val="00694427"/>
    <w:rsid w:val="006A4E25"/>
    <w:rsid w:val="006C584A"/>
    <w:rsid w:val="006F25FD"/>
    <w:rsid w:val="0072167C"/>
    <w:rsid w:val="00724584"/>
    <w:rsid w:val="00724B18"/>
    <w:rsid w:val="00733D76"/>
    <w:rsid w:val="00735AF6"/>
    <w:rsid w:val="00752807"/>
    <w:rsid w:val="00760D84"/>
    <w:rsid w:val="00794DB4"/>
    <w:rsid w:val="007B0C1A"/>
    <w:rsid w:val="00844120"/>
    <w:rsid w:val="008A0EAF"/>
    <w:rsid w:val="008D5F29"/>
    <w:rsid w:val="008F336D"/>
    <w:rsid w:val="00905357"/>
    <w:rsid w:val="009332C5"/>
    <w:rsid w:val="00955CE1"/>
    <w:rsid w:val="00983C1C"/>
    <w:rsid w:val="00993DBB"/>
    <w:rsid w:val="009D69A8"/>
    <w:rsid w:val="009F14E7"/>
    <w:rsid w:val="00A01054"/>
    <w:rsid w:val="00A41777"/>
    <w:rsid w:val="00A655C1"/>
    <w:rsid w:val="00A86568"/>
    <w:rsid w:val="00A87A63"/>
    <w:rsid w:val="00AC5863"/>
    <w:rsid w:val="00AD6197"/>
    <w:rsid w:val="00B13046"/>
    <w:rsid w:val="00B15583"/>
    <w:rsid w:val="00B172E2"/>
    <w:rsid w:val="00B86C23"/>
    <w:rsid w:val="00B966AD"/>
    <w:rsid w:val="00BE68A6"/>
    <w:rsid w:val="00C21F26"/>
    <w:rsid w:val="00C604EC"/>
    <w:rsid w:val="00C81FD2"/>
    <w:rsid w:val="00C86882"/>
    <w:rsid w:val="00C97FBF"/>
    <w:rsid w:val="00CC1A35"/>
    <w:rsid w:val="00CD2F60"/>
    <w:rsid w:val="00D02C13"/>
    <w:rsid w:val="00D21D8E"/>
    <w:rsid w:val="00D40648"/>
    <w:rsid w:val="00D536F4"/>
    <w:rsid w:val="00D934A9"/>
    <w:rsid w:val="00DC7A31"/>
    <w:rsid w:val="00DF541A"/>
    <w:rsid w:val="00E14700"/>
    <w:rsid w:val="00E561B4"/>
    <w:rsid w:val="00E57ED3"/>
    <w:rsid w:val="00E7200B"/>
    <w:rsid w:val="00E960C3"/>
    <w:rsid w:val="00ED36D7"/>
    <w:rsid w:val="00F14E3B"/>
    <w:rsid w:val="00F46432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basedOn w:val="Normalny"/>
    <w:uiPriority w:val="1"/>
    <w:qFormat/>
    <w:rsid w:val="00266AC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260272"/>
    <w:pPr>
      <w:suppressAutoHyphens w:val="0"/>
      <w:spacing w:after="120" w:line="480" w:lineRule="auto"/>
    </w:pPr>
    <w:rPr>
      <w:rFonts w:ascii="Trebuchet MS" w:hAnsi="Trebuchet MS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0272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242B-B546-4F34-B948-16E6662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2018-10-09T09:15:00Z</cp:lastPrinted>
  <dcterms:created xsi:type="dcterms:W3CDTF">2018-10-09T09:17:00Z</dcterms:created>
  <dcterms:modified xsi:type="dcterms:W3CDTF">2018-10-09T09:17:00Z</dcterms:modified>
</cp:coreProperties>
</file>