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BD" w:rsidRDefault="001524BD" w:rsidP="001524BD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ZP. 261.</w:t>
      </w:r>
      <w:r w:rsidR="00266ACB">
        <w:rPr>
          <w:sz w:val="22"/>
          <w:szCs w:val="22"/>
        </w:rPr>
        <w:t>9</w:t>
      </w:r>
      <w:r>
        <w:rPr>
          <w:sz w:val="22"/>
          <w:szCs w:val="22"/>
        </w:rPr>
        <w:t>.201</w:t>
      </w:r>
      <w:r w:rsidR="00266ACB">
        <w:rPr>
          <w:sz w:val="22"/>
          <w:szCs w:val="22"/>
        </w:rPr>
        <w:t>8</w:t>
      </w:r>
    </w:p>
    <w:p w:rsidR="006164F6" w:rsidRDefault="006164F6" w:rsidP="006164F6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4A1B06">
        <w:rPr>
          <w:sz w:val="22"/>
          <w:szCs w:val="22"/>
        </w:rPr>
        <w:t>03.10.2018</w:t>
      </w:r>
    </w:p>
    <w:p w:rsidR="006164F6" w:rsidRDefault="006164F6" w:rsidP="006164F6">
      <w:pPr>
        <w:pStyle w:val="NormalnyWeb"/>
        <w:spacing w:before="0" w:after="0"/>
        <w:jc w:val="both"/>
        <w:rPr>
          <w:sz w:val="22"/>
          <w:szCs w:val="22"/>
        </w:rPr>
      </w:pPr>
    </w:p>
    <w:p w:rsidR="00266ACB" w:rsidRDefault="00266ACB" w:rsidP="006164F6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266ACB" w:rsidRDefault="00266ACB" w:rsidP="006164F6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266ACB" w:rsidRDefault="00266ACB" w:rsidP="006164F6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6164F6" w:rsidRDefault="006164F6" w:rsidP="006164F6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6164F6" w:rsidRDefault="006164F6" w:rsidP="006164F6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6164F6" w:rsidRDefault="006164F6" w:rsidP="006164F6">
      <w:pPr>
        <w:jc w:val="center"/>
        <w:rPr>
          <w:b/>
        </w:rPr>
      </w:pPr>
    </w:p>
    <w:p w:rsidR="006164F6" w:rsidRDefault="006164F6" w:rsidP="006164F6">
      <w:pPr>
        <w:jc w:val="center"/>
        <w:rPr>
          <w:b/>
        </w:rPr>
      </w:pPr>
      <w:r>
        <w:rPr>
          <w:b/>
        </w:rPr>
        <w:t>Wyjaśnienia</w:t>
      </w:r>
      <w:r w:rsidR="002E3192">
        <w:rPr>
          <w:b/>
        </w:rPr>
        <w:t>, modyfikacja</w:t>
      </w:r>
    </w:p>
    <w:p w:rsidR="006164F6" w:rsidRDefault="006164F6" w:rsidP="006164F6"/>
    <w:p w:rsidR="006164F6" w:rsidRDefault="006164F6" w:rsidP="006164F6">
      <w:pPr>
        <w:pStyle w:val="Tytu"/>
        <w:spacing w:line="360" w:lineRule="auto"/>
        <w:jc w:val="left"/>
        <w:rPr>
          <w:rFonts w:eastAsia="TimesNewRomanPS-BoldMT"/>
          <w:sz w:val="20"/>
          <w:szCs w:val="20"/>
        </w:rPr>
      </w:pPr>
      <w:r>
        <w:rPr>
          <w:sz w:val="20"/>
          <w:szCs w:val="20"/>
        </w:rPr>
        <w:t>Dotyczy: przetargu nieograniczonego na d</w:t>
      </w:r>
      <w:r>
        <w:rPr>
          <w:rFonts w:eastAsia="TimesNewRomanPS-BoldMT"/>
          <w:sz w:val="20"/>
          <w:szCs w:val="20"/>
        </w:rPr>
        <w:t>ostawę produktów leczniczych</w:t>
      </w:r>
      <w:r w:rsidR="00266ACB">
        <w:rPr>
          <w:rFonts w:eastAsia="TimesNewRomanPS-BoldMT"/>
          <w:sz w:val="20"/>
          <w:szCs w:val="20"/>
        </w:rPr>
        <w:t xml:space="preserve">, wyrobów medycznych </w:t>
      </w:r>
      <w:r>
        <w:rPr>
          <w:rFonts w:eastAsia="TimesNewRomanPS-BoldMT"/>
          <w:sz w:val="20"/>
          <w:szCs w:val="20"/>
        </w:rPr>
        <w:t xml:space="preserve"> i innych </w:t>
      </w:r>
    </w:p>
    <w:p w:rsidR="006164F6" w:rsidRDefault="006164F6" w:rsidP="006164F6">
      <w: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AC5863" w:rsidRPr="00DF6BF7" w:rsidRDefault="00AC5863" w:rsidP="00AC5863">
      <w:pPr>
        <w:jc w:val="both"/>
        <w:rPr>
          <w:sz w:val="22"/>
          <w:szCs w:val="22"/>
        </w:rPr>
      </w:pPr>
    </w:p>
    <w:p w:rsidR="00266ACB" w:rsidRDefault="00266ACB" w:rsidP="00266ACB">
      <w:pPr>
        <w:jc w:val="both"/>
        <w:rPr>
          <w:sz w:val="22"/>
          <w:szCs w:val="22"/>
        </w:rPr>
      </w:pPr>
    </w:p>
    <w:p w:rsidR="00266ACB" w:rsidRDefault="00320B53" w:rsidP="00266ACB">
      <w:pPr>
        <w:jc w:val="both"/>
      </w:pPr>
      <w:r>
        <w:rPr>
          <w:sz w:val="22"/>
          <w:szCs w:val="22"/>
        </w:rPr>
        <w:t xml:space="preserve">1. </w:t>
      </w:r>
      <w:r w:rsidR="00266ACB">
        <w:rPr>
          <w:sz w:val="22"/>
          <w:szCs w:val="22"/>
        </w:rPr>
        <w:t xml:space="preserve">Czy zamawiający wyrazi zgodę w </w:t>
      </w:r>
      <w:r w:rsidR="00266ACB">
        <w:rPr>
          <w:b/>
        </w:rPr>
        <w:t>Zadanie nr 5</w:t>
      </w:r>
      <w:r w:rsidR="00266ACB">
        <w:rPr>
          <w:sz w:val="22"/>
          <w:szCs w:val="22"/>
        </w:rPr>
        <w:t xml:space="preserve">w </w:t>
      </w:r>
      <w:r w:rsidR="00266ACB" w:rsidRPr="00383DEB">
        <w:rPr>
          <w:b/>
          <w:sz w:val="22"/>
          <w:szCs w:val="22"/>
        </w:rPr>
        <w:t xml:space="preserve">pozycji </w:t>
      </w:r>
      <w:r w:rsidR="00266ACB">
        <w:rPr>
          <w:b/>
          <w:sz w:val="22"/>
          <w:szCs w:val="22"/>
        </w:rPr>
        <w:t>124</w:t>
      </w:r>
      <w:r w:rsidR="00266ACB">
        <w:rPr>
          <w:sz w:val="22"/>
          <w:szCs w:val="22"/>
        </w:rPr>
        <w:t>-(</w:t>
      </w:r>
      <w:proofErr w:type="spellStart"/>
      <w:r w:rsidR="00266ACB" w:rsidRPr="00DC1F43">
        <w:rPr>
          <w:sz w:val="22"/>
          <w:szCs w:val="22"/>
        </w:rPr>
        <w:t>Heparinum</w:t>
      </w:r>
      <w:proofErr w:type="spellEnd"/>
      <w:r w:rsidR="00266ACB" w:rsidRPr="00DC1F43">
        <w:rPr>
          <w:sz w:val="22"/>
          <w:szCs w:val="22"/>
        </w:rPr>
        <w:t xml:space="preserve"> krem 300jm./1g 20g</w:t>
      </w:r>
      <w:r w:rsidR="00266ACB">
        <w:rPr>
          <w:sz w:val="22"/>
          <w:szCs w:val="22"/>
        </w:rPr>
        <w:t xml:space="preserve">), na dopuszczenie leku: </w:t>
      </w:r>
      <w:proofErr w:type="spellStart"/>
      <w:r w:rsidR="00266ACB" w:rsidRPr="00F96298">
        <w:rPr>
          <w:b/>
        </w:rPr>
        <w:t>Liot</w:t>
      </w:r>
      <w:r w:rsidR="00266ACB">
        <w:rPr>
          <w:b/>
        </w:rPr>
        <w:t>on</w:t>
      </w:r>
      <w:proofErr w:type="spellEnd"/>
      <w:r w:rsidR="00266ACB">
        <w:rPr>
          <w:b/>
        </w:rPr>
        <w:t xml:space="preserve"> 1000, 8,5 mg (1000 IU)/g, 30g żel</w:t>
      </w:r>
      <w:r>
        <w:rPr>
          <w:b/>
        </w:rPr>
        <w:t xml:space="preserve"> </w:t>
      </w:r>
      <w:r w:rsidR="00266ACB">
        <w:t>posiadającego takie same wskazania do stosowania jak</w:t>
      </w:r>
      <w:r>
        <w:t xml:space="preserve"> </w:t>
      </w:r>
      <w:proofErr w:type="spellStart"/>
      <w:r w:rsidR="00266ACB" w:rsidRPr="00DC1F43">
        <w:rPr>
          <w:sz w:val="22"/>
          <w:szCs w:val="22"/>
        </w:rPr>
        <w:t>Heparinum</w:t>
      </w:r>
      <w:proofErr w:type="spellEnd"/>
      <w:r w:rsidR="00266ACB" w:rsidRPr="00DC1F43">
        <w:rPr>
          <w:sz w:val="22"/>
          <w:szCs w:val="22"/>
        </w:rPr>
        <w:t xml:space="preserve"> krem 300jm./1g 20g </w:t>
      </w:r>
      <w:r w:rsidR="00266ACB">
        <w:rPr>
          <w:sz w:val="22"/>
          <w:szCs w:val="22"/>
        </w:rPr>
        <w:t>po przeliczeniu 67 opakowań</w:t>
      </w:r>
      <w:r w:rsidR="00266ACB">
        <w:t>?</w:t>
      </w:r>
    </w:p>
    <w:p w:rsidR="00266ACB" w:rsidRDefault="00266ACB" w:rsidP="00266ACB">
      <w:pPr>
        <w:jc w:val="both"/>
        <w:rPr>
          <w:b/>
        </w:rPr>
      </w:pPr>
    </w:p>
    <w:p w:rsidR="00266ACB" w:rsidRDefault="00266ACB" w:rsidP="00266ACB">
      <w:pPr>
        <w:jc w:val="both"/>
      </w:pPr>
      <w:r w:rsidRPr="00F96298">
        <w:rPr>
          <w:b/>
        </w:rPr>
        <w:t>SKŁAD JAKOŚCIOWY I ILOŚCIOWY</w:t>
      </w:r>
      <w:r>
        <w:t>:</w:t>
      </w:r>
    </w:p>
    <w:p w:rsidR="00266ACB" w:rsidRDefault="00266ACB" w:rsidP="00266ACB">
      <w:pPr>
        <w:jc w:val="both"/>
        <w:rPr>
          <w:sz w:val="22"/>
          <w:szCs w:val="22"/>
        </w:rPr>
      </w:pPr>
      <w:r>
        <w:t>1 g żelu zawiera 8,5 mg (1000 IU) heparyny sodowej (</w:t>
      </w:r>
      <w:proofErr w:type="spellStart"/>
      <w:r>
        <w:t>Heparinumnatricum</w:t>
      </w:r>
      <w:proofErr w:type="spellEnd"/>
      <w:r>
        <w:t xml:space="preserve">). Substancje pomocnicze o znanym działaniu: metylu </w:t>
      </w:r>
      <w:proofErr w:type="spellStart"/>
      <w:r>
        <w:t>parahydroksybenzoesan</w:t>
      </w:r>
      <w:proofErr w:type="spellEnd"/>
      <w:r>
        <w:t xml:space="preserve"> i propylu </w:t>
      </w:r>
      <w:proofErr w:type="spellStart"/>
      <w:r>
        <w:t>parahydroksybenzoesan</w:t>
      </w:r>
      <w:proofErr w:type="spellEnd"/>
      <w:r>
        <w:t xml:space="preserve">. </w:t>
      </w:r>
    </w:p>
    <w:p w:rsidR="00266ACB" w:rsidRDefault="00266ACB" w:rsidP="00266ACB">
      <w:pPr>
        <w:jc w:val="both"/>
        <w:rPr>
          <w:b/>
        </w:rPr>
      </w:pPr>
    </w:p>
    <w:p w:rsidR="00266ACB" w:rsidRDefault="00266ACB" w:rsidP="00266ACB">
      <w:pPr>
        <w:jc w:val="both"/>
      </w:pPr>
      <w:r w:rsidRPr="00820F51">
        <w:rPr>
          <w:b/>
        </w:rPr>
        <w:t>POSTAĆ FARMACEUTYCZNA</w:t>
      </w:r>
      <w:r>
        <w:t>: Żel</w:t>
      </w:r>
    </w:p>
    <w:p w:rsidR="00266ACB" w:rsidRDefault="00266ACB" w:rsidP="00266ACB">
      <w:pPr>
        <w:jc w:val="both"/>
        <w:rPr>
          <w:sz w:val="22"/>
          <w:szCs w:val="22"/>
        </w:rPr>
      </w:pPr>
      <w:r w:rsidRPr="00F96298">
        <w:rPr>
          <w:b/>
        </w:rPr>
        <w:t>Wskazania do stosowania Leczenie wspomagające:</w:t>
      </w:r>
      <w:r>
        <w:t xml:space="preserve"> - w chorobach żył powierzchownych takich, jak: zapalenia żył, zakrzepowym zapaleniu żył, żylakach kończyn dolnych; - w krwiakach podskórnych, stłuczeniach, obrzękach.</w:t>
      </w:r>
    </w:p>
    <w:p w:rsidR="006F25FD" w:rsidRPr="00E14700" w:rsidRDefault="004A1B06" w:rsidP="007216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Odp.: Zgodnie z </w:t>
      </w:r>
      <w:proofErr w:type="spellStart"/>
      <w:r>
        <w:rPr>
          <w:rFonts w:asciiTheme="minorHAnsi" w:hAnsiTheme="minorHAnsi"/>
        </w:rPr>
        <w:t>siwz</w:t>
      </w:r>
      <w:proofErr w:type="spellEnd"/>
      <w:r w:rsidR="00011F06">
        <w:rPr>
          <w:rFonts w:asciiTheme="minorHAnsi" w:hAnsiTheme="minorHAnsi"/>
        </w:rPr>
        <w:t>.</w:t>
      </w:r>
      <w:r w:rsidR="00011F06" w:rsidRPr="00011F06">
        <w:rPr>
          <w:rFonts w:ascii="Calibri" w:hAnsi="Calibri"/>
          <w:color w:val="000000"/>
        </w:rPr>
        <w:t xml:space="preserve"> </w:t>
      </w:r>
      <w:r w:rsidR="00011F06">
        <w:rPr>
          <w:rFonts w:ascii="Calibri" w:hAnsi="Calibri"/>
          <w:color w:val="000000"/>
        </w:rPr>
        <w:t xml:space="preserve">Zamawiający dopuszcza preparaty równoważne zgodnie z definicją równoważności zawartą w </w:t>
      </w:r>
      <w:proofErr w:type="spellStart"/>
      <w:r w:rsidR="00011F06">
        <w:rPr>
          <w:rFonts w:ascii="Calibri" w:hAnsi="Calibri"/>
          <w:color w:val="000000"/>
        </w:rPr>
        <w:t>pkt</w:t>
      </w:r>
      <w:proofErr w:type="spellEnd"/>
      <w:r w:rsidR="00011F06">
        <w:rPr>
          <w:rFonts w:ascii="Calibri" w:hAnsi="Calibri"/>
          <w:color w:val="000000"/>
        </w:rPr>
        <w:t xml:space="preserve"> 3.8 </w:t>
      </w:r>
      <w:proofErr w:type="spellStart"/>
      <w:r w:rsidR="00011F06">
        <w:rPr>
          <w:rFonts w:ascii="Calibri" w:hAnsi="Calibri"/>
          <w:color w:val="000000"/>
        </w:rPr>
        <w:t>siwz</w:t>
      </w:r>
      <w:proofErr w:type="spellEnd"/>
    </w:p>
    <w:p w:rsidR="00266ACB" w:rsidRDefault="00320B53" w:rsidP="00266ACB">
      <w:pPr>
        <w:rPr>
          <w:color w:val="000000"/>
        </w:rPr>
      </w:pPr>
      <w:r>
        <w:rPr>
          <w:color w:val="000000"/>
        </w:rPr>
        <w:t xml:space="preserve">2. </w:t>
      </w:r>
      <w:r w:rsidR="00266ACB" w:rsidRPr="00C5631F">
        <w:rPr>
          <w:color w:val="000000"/>
        </w:rPr>
        <w:t>Czy zamawiający dopuści do zaoferowania w części nr 13 pozycja 1 produkt równoważny – Trzykomorowy zestaw do żywienia pozajelitowego zawierający: aminokwasy glukozę oraz emulsję tłuszczową (</w:t>
      </w:r>
      <w:r w:rsidR="00266ACB">
        <w:rPr>
          <w:color w:val="000000"/>
        </w:rPr>
        <w:t>MCT/LCT)</w:t>
      </w:r>
      <w:r w:rsidR="00266ACB" w:rsidRPr="00C5631F">
        <w:rPr>
          <w:color w:val="000000"/>
        </w:rPr>
        <w:t xml:space="preserve"> zawartość azotu całkowitego </w:t>
      </w:r>
      <w:r w:rsidR="00266ACB">
        <w:rPr>
          <w:color w:val="000000"/>
        </w:rPr>
        <w:t xml:space="preserve">5,7 </w:t>
      </w:r>
      <w:r w:rsidR="00266ACB" w:rsidRPr="00C5631F">
        <w:rPr>
          <w:color w:val="000000"/>
        </w:rPr>
        <w:t>g obj. 1</w:t>
      </w:r>
      <w:r w:rsidR="00266ACB">
        <w:rPr>
          <w:color w:val="000000"/>
        </w:rPr>
        <w:t>250 ml (4,6 g azotu /1000ml)</w:t>
      </w:r>
      <w:r w:rsidR="00266ACB" w:rsidRPr="00C5631F">
        <w:rPr>
          <w:b/>
          <w:color w:val="000000"/>
        </w:rPr>
        <w:t xml:space="preserve">, </w:t>
      </w:r>
      <w:r w:rsidR="00266ACB" w:rsidRPr="00C5631F">
        <w:rPr>
          <w:color w:val="000000"/>
        </w:rPr>
        <w:t xml:space="preserve">o </w:t>
      </w:r>
      <w:r w:rsidR="00266ACB">
        <w:rPr>
          <w:color w:val="000000"/>
        </w:rPr>
        <w:t xml:space="preserve">nazwie </w:t>
      </w:r>
      <w:proofErr w:type="spellStart"/>
      <w:r w:rsidR="00266ACB">
        <w:rPr>
          <w:color w:val="000000"/>
        </w:rPr>
        <w:t>Nutriflex</w:t>
      </w:r>
      <w:proofErr w:type="spellEnd"/>
      <w:r w:rsidR="00266ACB">
        <w:rPr>
          <w:color w:val="000000"/>
        </w:rPr>
        <w:t xml:space="preserve"> Lipid Peri 1250ml</w:t>
      </w:r>
      <w:r w:rsidR="00266ACB" w:rsidRPr="00C5631F">
        <w:rPr>
          <w:color w:val="000000"/>
        </w:rPr>
        <w:t>?</w:t>
      </w:r>
    </w:p>
    <w:p w:rsidR="004A1B06" w:rsidRPr="00C5631F" w:rsidRDefault="004A1B06" w:rsidP="00266ACB">
      <w:pPr>
        <w:rPr>
          <w:color w:val="000000"/>
        </w:rPr>
      </w:pPr>
      <w:r>
        <w:rPr>
          <w:color w:val="000000"/>
        </w:rPr>
        <w:t xml:space="preserve">Odp.: Zgodnie z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  <w:r w:rsidRPr="004A1B0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Zamawiający dopuszcza preparaty równoważne zgodnie z definicją równoważności zawartą w </w:t>
      </w:r>
      <w:proofErr w:type="spellStart"/>
      <w:r>
        <w:rPr>
          <w:rFonts w:ascii="Calibri" w:hAnsi="Calibri"/>
          <w:color w:val="000000"/>
        </w:rPr>
        <w:t>pkt</w:t>
      </w:r>
      <w:proofErr w:type="spellEnd"/>
      <w:r>
        <w:rPr>
          <w:rFonts w:ascii="Calibri" w:hAnsi="Calibri"/>
          <w:color w:val="000000"/>
        </w:rPr>
        <w:t xml:space="preserve"> 3.8 </w:t>
      </w:r>
      <w:proofErr w:type="spellStart"/>
      <w:r>
        <w:rPr>
          <w:rFonts w:ascii="Calibri" w:hAnsi="Calibri"/>
          <w:color w:val="000000"/>
        </w:rPr>
        <w:t>siwz</w:t>
      </w:r>
      <w:proofErr w:type="spellEnd"/>
      <w:r>
        <w:rPr>
          <w:rFonts w:ascii="Calibri" w:hAnsi="Calibri"/>
          <w:color w:val="000000"/>
        </w:rPr>
        <w:t>.</w:t>
      </w:r>
    </w:p>
    <w:p w:rsidR="00266ACB" w:rsidRDefault="00266ACB" w:rsidP="00266ACB">
      <w:pPr>
        <w:rPr>
          <w:color w:val="000000"/>
        </w:rPr>
      </w:pPr>
    </w:p>
    <w:p w:rsidR="00266ACB" w:rsidRDefault="00320B53" w:rsidP="00266ACB">
      <w:pPr>
        <w:rPr>
          <w:color w:val="000000"/>
        </w:rPr>
      </w:pPr>
      <w:r>
        <w:rPr>
          <w:color w:val="000000"/>
        </w:rPr>
        <w:t xml:space="preserve">3. </w:t>
      </w:r>
      <w:r w:rsidR="00266ACB" w:rsidRPr="00C5631F">
        <w:rPr>
          <w:color w:val="000000"/>
        </w:rPr>
        <w:t xml:space="preserve">Czy zamawiający dopuści do zaoferowania w części nr 13 pozycja </w:t>
      </w:r>
      <w:r w:rsidR="00266ACB">
        <w:rPr>
          <w:color w:val="000000"/>
        </w:rPr>
        <w:t>2</w:t>
      </w:r>
      <w:r w:rsidR="00266ACB" w:rsidRPr="00C5631F">
        <w:rPr>
          <w:color w:val="000000"/>
        </w:rPr>
        <w:t xml:space="preserve"> produkt równoważny – Trzykomorowy zestaw do żywienia pozajelitowego zawierający: aminokwasy glukozę oraz emulsję tłuszczową (</w:t>
      </w:r>
      <w:r w:rsidR="00266ACB">
        <w:rPr>
          <w:color w:val="000000"/>
        </w:rPr>
        <w:t>MCT/LCT)</w:t>
      </w:r>
      <w:r w:rsidR="00266ACB" w:rsidRPr="00C5631F">
        <w:rPr>
          <w:color w:val="000000"/>
        </w:rPr>
        <w:t xml:space="preserve"> zawartość azotu całkowitego </w:t>
      </w:r>
      <w:r w:rsidR="00266ACB">
        <w:rPr>
          <w:color w:val="000000"/>
        </w:rPr>
        <w:t xml:space="preserve">6,8 </w:t>
      </w:r>
      <w:r w:rsidR="00266ACB" w:rsidRPr="00C5631F">
        <w:rPr>
          <w:color w:val="000000"/>
        </w:rPr>
        <w:t>g obj. 1</w:t>
      </w:r>
      <w:r w:rsidR="00266ACB">
        <w:rPr>
          <w:color w:val="000000"/>
        </w:rPr>
        <w:t>250 ml (5,44 g azotu /1000ml)</w:t>
      </w:r>
      <w:r w:rsidR="00266ACB" w:rsidRPr="00C5631F">
        <w:rPr>
          <w:b/>
          <w:color w:val="000000"/>
        </w:rPr>
        <w:t xml:space="preserve">, </w:t>
      </w:r>
      <w:r w:rsidR="00266ACB" w:rsidRPr="00C5631F">
        <w:rPr>
          <w:color w:val="000000"/>
        </w:rPr>
        <w:t xml:space="preserve">o </w:t>
      </w:r>
      <w:r w:rsidR="00266ACB">
        <w:rPr>
          <w:color w:val="000000"/>
        </w:rPr>
        <w:t xml:space="preserve">nazwie </w:t>
      </w:r>
      <w:proofErr w:type="spellStart"/>
      <w:r w:rsidR="00266ACB">
        <w:rPr>
          <w:color w:val="000000"/>
        </w:rPr>
        <w:t>Nutriflex</w:t>
      </w:r>
      <w:proofErr w:type="spellEnd"/>
      <w:r w:rsidR="00266ACB">
        <w:rPr>
          <w:color w:val="000000"/>
        </w:rPr>
        <w:t xml:space="preserve"> Lipid Plus1250ml?</w:t>
      </w:r>
    </w:p>
    <w:p w:rsidR="00266ACB" w:rsidRDefault="004A1B06" w:rsidP="00266ACB">
      <w:pPr>
        <w:rPr>
          <w:color w:val="000000"/>
        </w:rPr>
      </w:pPr>
      <w:r>
        <w:rPr>
          <w:color w:val="000000"/>
        </w:rPr>
        <w:t xml:space="preserve">Odp.: Zgodnie z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  <w:r w:rsidRPr="004A1B0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Zamawiający dopuszcza preparaty równoważne zgodnie z definicją równoważności zawartą w </w:t>
      </w:r>
      <w:proofErr w:type="spellStart"/>
      <w:r>
        <w:rPr>
          <w:rFonts w:ascii="Calibri" w:hAnsi="Calibri"/>
          <w:color w:val="000000"/>
        </w:rPr>
        <w:t>pkt</w:t>
      </w:r>
      <w:proofErr w:type="spellEnd"/>
      <w:r>
        <w:rPr>
          <w:rFonts w:ascii="Calibri" w:hAnsi="Calibri"/>
          <w:color w:val="000000"/>
        </w:rPr>
        <w:t xml:space="preserve"> 3.8 </w:t>
      </w:r>
      <w:proofErr w:type="spellStart"/>
      <w:r>
        <w:rPr>
          <w:rFonts w:ascii="Calibri" w:hAnsi="Calibri"/>
          <w:color w:val="000000"/>
        </w:rPr>
        <w:t>siwz</w:t>
      </w:r>
      <w:proofErr w:type="spellEnd"/>
      <w:r>
        <w:rPr>
          <w:rFonts w:ascii="Calibri" w:hAnsi="Calibri"/>
          <w:color w:val="000000"/>
        </w:rPr>
        <w:t>.</w:t>
      </w:r>
    </w:p>
    <w:p w:rsidR="00266ACB" w:rsidRDefault="00320B53" w:rsidP="00266ACB">
      <w:pPr>
        <w:rPr>
          <w:color w:val="000000"/>
        </w:rPr>
      </w:pPr>
      <w:r>
        <w:rPr>
          <w:color w:val="000000"/>
        </w:rPr>
        <w:t xml:space="preserve">4. </w:t>
      </w:r>
      <w:r w:rsidR="00266ACB" w:rsidRPr="00C5631F">
        <w:rPr>
          <w:color w:val="000000"/>
        </w:rPr>
        <w:t xml:space="preserve">Czy zamawiający dopuści do zaoferowania w części nr 13 pozycja </w:t>
      </w:r>
      <w:r w:rsidR="00266ACB">
        <w:rPr>
          <w:color w:val="000000"/>
        </w:rPr>
        <w:t>3</w:t>
      </w:r>
      <w:r w:rsidR="00266ACB" w:rsidRPr="00C5631F">
        <w:rPr>
          <w:color w:val="000000"/>
        </w:rPr>
        <w:t xml:space="preserve"> produkt równoważny – Trzykomorowy zestaw do żywienia pozajelitowego zawierający: aminokwasy glukozę oraz emulsję tłuszczową (</w:t>
      </w:r>
      <w:r w:rsidR="00266ACB">
        <w:rPr>
          <w:color w:val="000000"/>
        </w:rPr>
        <w:t>MCT/LCT)</w:t>
      </w:r>
      <w:r w:rsidR="00266ACB" w:rsidRPr="00C5631F">
        <w:rPr>
          <w:color w:val="000000"/>
        </w:rPr>
        <w:t xml:space="preserve"> zawartość azotu całkowitego </w:t>
      </w:r>
      <w:r w:rsidR="00266ACB">
        <w:rPr>
          <w:color w:val="000000"/>
        </w:rPr>
        <w:t xml:space="preserve">10 </w:t>
      </w:r>
      <w:r w:rsidR="00266ACB" w:rsidRPr="00C5631F">
        <w:rPr>
          <w:color w:val="000000"/>
        </w:rPr>
        <w:t>g obj. 1</w:t>
      </w:r>
      <w:r w:rsidR="00266ACB">
        <w:rPr>
          <w:color w:val="000000"/>
        </w:rPr>
        <w:t>250 ml (8 g azotu /1000ml)</w:t>
      </w:r>
      <w:r w:rsidR="00266ACB" w:rsidRPr="00C5631F">
        <w:rPr>
          <w:b/>
          <w:color w:val="000000"/>
        </w:rPr>
        <w:t xml:space="preserve">, </w:t>
      </w:r>
      <w:r w:rsidR="00266ACB" w:rsidRPr="00C5631F">
        <w:rPr>
          <w:color w:val="000000"/>
        </w:rPr>
        <w:t xml:space="preserve">o </w:t>
      </w:r>
      <w:r w:rsidR="00266ACB">
        <w:rPr>
          <w:color w:val="000000"/>
        </w:rPr>
        <w:t xml:space="preserve">nazwie </w:t>
      </w:r>
      <w:proofErr w:type="spellStart"/>
      <w:r w:rsidR="00266ACB">
        <w:rPr>
          <w:color w:val="000000"/>
        </w:rPr>
        <w:t>Nutriflex</w:t>
      </w:r>
      <w:proofErr w:type="spellEnd"/>
      <w:r w:rsidR="00266ACB">
        <w:rPr>
          <w:color w:val="000000"/>
        </w:rPr>
        <w:t xml:space="preserve"> Lipid </w:t>
      </w:r>
      <w:proofErr w:type="spellStart"/>
      <w:r w:rsidR="00266ACB">
        <w:rPr>
          <w:color w:val="000000"/>
        </w:rPr>
        <w:t>Special</w:t>
      </w:r>
      <w:proofErr w:type="spellEnd"/>
      <w:r w:rsidR="00266ACB">
        <w:rPr>
          <w:color w:val="000000"/>
        </w:rPr>
        <w:t xml:space="preserve"> 1250ml?</w:t>
      </w:r>
    </w:p>
    <w:p w:rsidR="00266ACB" w:rsidRDefault="004A1B06" w:rsidP="00266ACB">
      <w:pPr>
        <w:rPr>
          <w:color w:val="000000"/>
        </w:rPr>
      </w:pPr>
      <w:r>
        <w:rPr>
          <w:color w:val="000000"/>
        </w:rPr>
        <w:lastRenderedPageBreak/>
        <w:t xml:space="preserve">Odp.: Zgodnie z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  <w:r w:rsidRPr="004A1B0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Zamawiający dopuszcza preparaty równoważne zgodnie z definicją równoważności zawartą w </w:t>
      </w:r>
      <w:proofErr w:type="spellStart"/>
      <w:r>
        <w:rPr>
          <w:rFonts w:ascii="Calibri" w:hAnsi="Calibri"/>
          <w:color w:val="000000"/>
        </w:rPr>
        <w:t>pkt</w:t>
      </w:r>
      <w:proofErr w:type="spellEnd"/>
      <w:r>
        <w:rPr>
          <w:rFonts w:ascii="Calibri" w:hAnsi="Calibri"/>
          <w:color w:val="000000"/>
        </w:rPr>
        <w:t xml:space="preserve"> 3.8 </w:t>
      </w:r>
      <w:proofErr w:type="spellStart"/>
      <w:r>
        <w:rPr>
          <w:rFonts w:ascii="Calibri" w:hAnsi="Calibri"/>
          <w:color w:val="000000"/>
        </w:rPr>
        <w:t>siwz</w:t>
      </w:r>
      <w:proofErr w:type="spellEnd"/>
      <w:r>
        <w:rPr>
          <w:rFonts w:ascii="Calibri" w:hAnsi="Calibri"/>
          <w:color w:val="000000"/>
        </w:rPr>
        <w:t>.</w:t>
      </w:r>
    </w:p>
    <w:p w:rsidR="00266ACB" w:rsidRDefault="00320B53" w:rsidP="00266ACB">
      <w:pPr>
        <w:rPr>
          <w:color w:val="000000"/>
        </w:rPr>
      </w:pPr>
      <w:r>
        <w:rPr>
          <w:color w:val="000000"/>
        </w:rPr>
        <w:t xml:space="preserve">5. </w:t>
      </w:r>
      <w:r w:rsidR="00266ACB" w:rsidRPr="00B14113">
        <w:rPr>
          <w:color w:val="000000"/>
        </w:rPr>
        <w:t xml:space="preserve">Czy zamawiający w części nr 19 pozycja 18 wymaga preparatu GELASPAN 4% </w:t>
      </w:r>
      <w:r w:rsidR="00266ACB">
        <w:rPr>
          <w:color w:val="000000"/>
        </w:rPr>
        <w:t>butelka stojąca wyposaż. w</w:t>
      </w:r>
      <w:r w:rsidR="00266ACB" w:rsidRPr="00B14113">
        <w:rPr>
          <w:color w:val="000000"/>
        </w:rPr>
        <w:t xml:space="preserve"> dwa niezależnie zabezpieczone identyczne porty 500 ml ? Preparat </w:t>
      </w:r>
      <w:proofErr w:type="spellStart"/>
      <w:r w:rsidR="00266ACB" w:rsidRPr="00B14113">
        <w:rPr>
          <w:color w:val="000000"/>
        </w:rPr>
        <w:t>Gelofusine</w:t>
      </w:r>
      <w:proofErr w:type="spellEnd"/>
      <w:r w:rsidR="00266ACB" w:rsidRPr="00B14113">
        <w:rPr>
          <w:color w:val="000000"/>
        </w:rPr>
        <w:t xml:space="preserve"> nie jest już produkowany a </w:t>
      </w:r>
      <w:proofErr w:type="spellStart"/>
      <w:r w:rsidR="00266ACB" w:rsidRPr="00B14113">
        <w:rPr>
          <w:color w:val="000000"/>
        </w:rPr>
        <w:t>Gelaspan</w:t>
      </w:r>
      <w:proofErr w:type="spellEnd"/>
      <w:r w:rsidR="00266ACB" w:rsidRPr="00B14113">
        <w:rPr>
          <w:color w:val="000000"/>
        </w:rPr>
        <w:t xml:space="preserve"> jest nowszą formułą 4% żelatyny, w pełni </w:t>
      </w:r>
      <w:proofErr w:type="spellStart"/>
      <w:r w:rsidR="00266ACB" w:rsidRPr="00B14113">
        <w:rPr>
          <w:color w:val="000000"/>
        </w:rPr>
        <w:t>sukcynylowanej</w:t>
      </w:r>
      <w:proofErr w:type="spellEnd"/>
      <w:r w:rsidR="00266ACB" w:rsidRPr="00B14113">
        <w:rPr>
          <w:color w:val="000000"/>
        </w:rPr>
        <w:t>, zawieszonej w zbilansowanym roztworze elektrolitów</w:t>
      </w:r>
      <w:r w:rsidR="00266ACB">
        <w:rPr>
          <w:color w:val="000000"/>
        </w:rPr>
        <w:t>.</w:t>
      </w:r>
    </w:p>
    <w:p w:rsidR="00266ACB" w:rsidRDefault="004A1B06" w:rsidP="00266ACB">
      <w:pPr>
        <w:rPr>
          <w:color w:val="000000"/>
        </w:rPr>
      </w:pPr>
      <w:r>
        <w:rPr>
          <w:color w:val="000000"/>
        </w:rPr>
        <w:t>Odp.: Zamawiający dopuszcza zaoferowany produkt</w:t>
      </w:r>
    </w:p>
    <w:p w:rsidR="00266ACB" w:rsidRDefault="00320B53" w:rsidP="00266ACB">
      <w:pPr>
        <w:rPr>
          <w:color w:val="000000"/>
        </w:rPr>
      </w:pPr>
      <w:r>
        <w:rPr>
          <w:color w:val="000000"/>
        </w:rPr>
        <w:t xml:space="preserve">6. </w:t>
      </w:r>
      <w:r w:rsidR="00266ACB" w:rsidRPr="00B14113">
        <w:rPr>
          <w:color w:val="000000"/>
        </w:rPr>
        <w:t>Czy zamaw</w:t>
      </w:r>
      <w:r w:rsidR="00266ACB">
        <w:rPr>
          <w:color w:val="000000"/>
        </w:rPr>
        <w:t>iający w części nr 19 pozycja 15</w:t>
      </w:r>
      <w:r w:rsidR="00266ACB" w:rsidRPr="00B14113">
        <w:rPr>
          <w:color w:val="000000"/>
        </w:rPr>
        <w:t xml:space="preserve"> wymaga preparatu </w:t>
      </w:r>
      <w:r w:rsidR="00266ACB">
        <w:rPr>
          <w:color w:val="000000"/>
        </w:rPr>
        <w:t>GLIKOZA 40%</w:t>
      </w:r>
      <w:r w:rsidR="00266ACB" w:rsidRPr="00B14113">
        <w:rPr>
          <w:color w:val="000000"/>
        </w:rPr>
        <w:t xml:space="preserve"> </w:t>
      </w:r>
      <w:r w:rsidR="00266ACB">
        <w:rPr>
          <w:color w:val="000000"/>
        </w:rPr>
        <w:t>butelka stojąca wyposaż. w</w:t>
      </w:r>
      <w:r w:rsidR="00266ACB" w:rsidRPr="00B14113">
        <w:rPr>
          <w:color w:val="000000"/>
        </w:rPr>
        <w:t xml:space="preserve"> dwa niezależnie zabezpieczone identyczne porty 500 ml</w:t>
      </w:r>
      <w:r w:rsidR="00266ACB">
        <w:rPr>
          <w:color w:val="000000"/>
        </w:rPr>
        <w:t>? Opakowanie szklane nie jest już dostępne na rynku.</w:t>
      </w:r>
    </w:p>
    <w:p w:rsidR="004A1B06" w:rsidRDefault="004A1B06" w:rsidP="00266ACB">
      <w:pPr>
        <w:rPr>
          <w:color w:val="000000"/>
        </w:rPr>
      </w:pPr>
      <w:r>
        <w:rPr>
          <w:color w:val="000000"/>
        </w:rPr>
        <w:t>Odp.: Zamawiający dopuszcza zaoferowany produkt</w:t>
      </w:r>
    </w:p>
    <w:p w:rsidR="00266ACB" w:rsidRDefault="00266ACB" w:rsidP="00266ACB">
      <w:pPr>
        <w:rPr>
          <w:color w:val="000000"/>
        </w:rPr>
      </w:pPr>
    </w:p>
    <w:p w:rsidR="00266ACB" w:rsidRPr="00AD6197" w:rsidRDefault="00AD6197" w:rsidP="00AD6197">
      <w:pPr>
        <w:suppressAutoHyphens w:val="0"/>
        <w:spacing w:after="200" w:line="276" w:lineRule="auto"/>
        <w:jc w:val="both"/>
        <w:rPr>
          <w:u w:val="single"/>
        </w:rPr>
      </w:pPr>
      <w:r>
        <w:t xml:space="preserve">7. </w:t>
      </w:r>
      <w:r w:rsidR="00266ACB" w:rsidRPr="00320B53">
        <w:t xml:space="preserve">Z uwagi na zamieszczenie w opisie przedmiotu zamówienia nazwy własnej dietetycznego środka specjalnego przeznaczenia medycznego, będącej zastrzeżonym znakiem towarowym konkretnego producenta, zwracamy się z uprzejmą prośbą o dopuszczenie równoważnego zamiennika o nazwie </w:t>
      </w:r>
      <w:proofErr w:type="spellStart"/>
      <w:r w:rsidR="00266ACB" w:rsidRPr="00320B53">
        <w:t>LactoDr</w:t>
      </w:r>
      <w:proofErr w:type="spellEnd"/>
      <w:r w:rsidR="00266ACB" w:rsidRPr="00320B53">
        <w:t xml:space="preserve">., posiadającego taki sam status rejestracyjny zawierającego identyczny szczep bakterii </w:t>
      </w:r>
      <w:proofErr w:type="spellStart"/>
      <w:r w:rsidR="00266ACB" w:rsidRPr="00320B53">
        <w:t>probiotycznych</w:t>
      </w:r>
      <w:proofErr w:type="spellEnd"/>
      <w:r w:rsidR="00266ACB" w:rsidRPr="00320B53">
        <w:t xml:space="preserve"> </w:t>
      </w:r>
      <w:proofErr w:type="spellStart"/>
      <w:r w:rsidR="00266ACB" w:rsidRPr="00AD6197">
        <w:rPr>
          <w:i/>
        </w:rPr>
        <w:t>Lactobacillus</w:t>
      </w:r>
      <w:proofErr w:type="spellEnd"/>
      <w:r w:rsidR="00266ACB" w:rsidRPr="00AD6197">
        <w:rPr>
          <w:i/>
        </w:rPr>
        <w:t xml:space="preserve"> </w:t>
      </w:r>
      <w:proofErr w:type="spellStart"/>
      <w:r w:rsidR="00266ACB" w:rsidRPr="00AD6197">
        <w:rPr>
          <w:i/>
        </w:rPr>
        <w:t>rhamnosus</w:t>
      </w:r>
      <w:proofErr w:type="spellEnd"/>
      <w:r w:rsidR="00266ACB" w:rsidRPr="00AD6197">
        <w:rPr>
          <w:i/>
        </w:rPr>
        <w:t xml:space="preserve"> GG ATCC 53103</w:t>
      </w:r>
      <w:r w:rsidR="00266ACB" w:rsidRPr="00320B53">
        <w:t xml:space="preserve"> w identycznym stężeniu 6 mld CFU/kapsułkę, również przeznaczonego do stosowania u noworodków, niemowląt, dzieci i osób dorosłych.</w:t>
      </w:r>
    </w:p>
    <w:p w:rsidR="004A1B06" w:rsidRPr="004A1B06" w:rsidRDefault="004A1B06" w:rsidP="004A1B06">
      <w:pPr>
        <w:suppressAutoHyphens w:val="0"/>
        <w:spacing w:after="200" w:line="276" w:lineRule="auto"/>
        <w:jc w:val="both"/>
      </w:pPr>
      <w:r w:rsidRPr="004A1B06">
        <w:t xml:space="preserve">Odp.: </w:t>
      </w:r>
      <w:r w:rsidR="00905357">
        <w:t xml:space="preserve">Wykonawca winien zaoferować przedmiot zamówienia będący środkiem spożywczego przeznaczenia żywieniowego zgodnie z ustawa o bezpieczeństwie żywności i żywienia. Zamawiający dopuszcza składanie ofert równoważnych z uwzględnieniem definicji równoważności umieszczonej w </w:t>
      </w:r>
      <w:proofErr w:type="spellStart"/>
      <w:r w:rsidR="00905357">
        <w:t>pkt</w:t>
      </w:r>
      <w:proofErr w:type="spellEnd"/>
      <w:r w:rsidR="00905357">
        <w:t xml:space="preserve"> 3.8 </w:t>
      </w:r>
      <w:proofErr w:type="spellStart"/>
      <w:r w:rsidR="00905357">
        <w:t>siwz</w:t>
      </w:r>
      <w:proofErr w:type="spellEnd"/>
      <w:r w:rsidR="00905357">
        <w:t>.</w:t>
      </w:r>
    </w:p>
    <w:p w:rsidR="00266ACB" w:rsidRPr="00AD6197" w:rsidRDefault="00AD6197" w:rsidP="00AD6197">
      <w:p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="00266ACB" w:rsidRPr="00AD6197">
        <w:rPr>
          <w:rFonts w:asciiTheme="minorHAnsi" w:hAnsiTheme="minorHAnsi"/>
        </w:rPr>
        <w:t>Czy Zamawiający w art. 2.2. usunie możliwość składania zamówień w formie telefonicznej? Zgodnie z art. 36z ust. 4 Prawa farmaceutycznego (w brzmieniu obowiązującym od 12 lipca 2015 r.) zamówienia na leki muszą być składane w formie pisemnej albo w formie dokumentu elektronicznego doręczanego środkami komunikacji elek</w:t>
      </w:r>
      <w:bookmarkStart w:id="0" w:name="_GoBack"/>
      <w:bookmarkEnd w:id="0"/>
      <w:r w:rsidR="00266ACB" w:rsidRPr="00AD6197">
        <w:rPr>
          <w:rFonts w:asciiTheme="minorHAnsi" w:hAnsiTheme="minorHAnsi"/>
        </w:rPr>
        <w:t xml:space="preserve">tronicznej. </w:t>
      </w:r>
      <w:r w:rsidR="00266ACB" w:rsidRPr="00AD6197">
        <w:rPr>
          <w:rFonts w:asciiTheme="minorHAnsi" w:hAnsiTheme="minorHAnsi"/>
          <w:u w:val="single"/>
        </w:rPr>
        <w:t>Nie ma możliwości składania zamówień w formie telefonicznej</w:t>
      </w:r>
      <w:r w:rsidR="00266ACB" w:rsidRPr="00AD6197">
        <w:rPr>
          <w:rFonts w:asciiTheme="minorHAnsi" w:hAnsiTheme="minorHAnsi"/>
        </w:rPr>
        <w:t xml:space="preserve">, </w:t>
      </w:r>
      <w:r w:rsidR="00266ACB" w:rsidRPr="00AD6197">
        <w:rPr>
          <w:rFonts w:asciiTheme="minorHAnsi" w:hAnsiTheme="minorHAnsi"/>
          <w:u w:val="single"/>
        </w:rPr>
        <w:t>zaś zamówienie uważa się za złożone dopiero od chwili jego „potwierdzenia” faksem.</w:t>
      </w:r>
    </w:p>
    <w:p w:rsidR="004A1B06" w:rsidRPr="004A1B06" w:rsidRDefault="004A1B06" w:rsidP="004A1B06">
      <w:p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Odp.: Tak zamawiający modyfikuje zapisy SIWZ</w:t>
      </w:r>
    </w:p>
    <w:p w:rsidR="00266ACB" w:rsidRPr="00AD6197" w:rsidRDefault="00AD6197" w:rsidP="00AD6197">
      <w:p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zh-CN"/>
        </w:rPr>
        <w:t xml:space="preserve">9. </w:t>
      </w:r>
      <w:r w:rsidR="00266ACB" w:rsidRPr="00AD6197">
        <w:rPr>
          <w:rFonts w:asciiTheme="minorHAnsi" w:hAnsiTheme="minorHAnsi"/>
          <w:lang w:eastAsia="zh-CN"/>
        </w:rPr>
        <w:t xml:space="preserve">Czy Zamawiający </w:t>
      </w:r>
      <w:r w:rsidR="00266ACB" w:rsidRPr="00AD6197">
        <w:rPr>
          <w:rFonts w:asciiTheme="minorHAnsi" w:hAnsiTheme="minorHAnsi"/>
        </w:rPr>
        <w:t xml:space="preserve">zmieni wartość kar umownych określonych w art. 5.1   z 2% do wartości max 0,2%? Obecna kara umowna jest </w:t>
      </w:r>
      <w:r w:rsidR="00266ACB" w:rsidRPr="00AD6197">
        <w:rPr>
          <w:rFonts w:asciiTheme="minorHAnsi" w:hAnsiTheme="minorHAnsi"/>
          <w:b/>
          <w:u w:val="single"/>
        </w:rPr>
        <w:t>rażąco wygórowana.</w:t>
      </w:r>
    </w:p>
    <w:p w:rsidR="004A1B06" w:rsidRPr="004A1B06" w:rsidRDefault="004A1B06" w:rsidP="004A1B06">
      <w:p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Odp.: Zgodnie z </w:t>
      </w:r>
      <w:proofErr w:type="spellStart"/>
      <w:r>
        <w:rPr>
          <w:rFonts w:asciiTheme="minorHAnsi" w:hAnsiTheme="minorHAnsi"/>
        </w:rPr>
        <w:t>siwz</w:t>
      </w:r>
      <w:proofErr w:type="spellEnd"/>
    </w:p>
    <w:p w:rsidR="00266ACB" w:rsidRDefault="00AD6197" w:rsidP="00AD6197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10. </w:t>
      </w:r>
      <w:r w:rsidR="00266ACB" w:rsidRPr="00266ACB">
        <w:rPr>
          <w:lang w:eastAsia="pl-PL"/>
        </w:rPr>
        <w:t>Czy Zamawiający  dopuści do postępowania opatrunek hemostatyczny  </w:t>
      </w:r>
      <w:proofErr w:type="spellStart"/>
      <w:r w:rsidR="00266ACB" w:rsidRPr="00AD6197">
        <w:rPr>
          <w:b/>
          <w:bCs/>
          <w:lang w:eastAsia="pl-PL"/>
        </w:rPr>
        <w:t>Woundclot</w:t>
      </w:r>
      <w:proofErr w:type="spellEnd"/>
      <w:r w:rsidR="00266ACB" w:rsidRPr="00AD6197">
        <w:rPr>
          <w:b/>
          <w:bCs/>
          <w:lang w:val="cs-CZ" w:eastAsia="pl-PL"/>
        </w:rPr>
        <w:t xml:space="preserve">™  </w:t>
      </w:r>
      <w:r w:rsidR="00266ACB" w:rsidRPr="00AD6197">
        <w:rPr>
          <w:lang w:val="cs-CZ" w:eastAsia="pl-PL"/>
        </w:rPr>
        <w:t>o wymiarach 5 cm x 5 cm</w:t>
      </w:r>
      <w:r w:rsidR="00266ACB" w:rsidRPr="00AD6197">
        <w:rPr>
          <w:b/>
          <w:bCs/>
          <w:lang w:val="cs-CZ" w:eastAsia="pl-PL"/>
        </w:rPr>
        <w:t xml:space="preserve"> </w:t>
      </w:r>
      <w:r w:rsidR="00266ACB" w:rsidRPr="00AD6197">
        <w:rPr>
          <w:lang w:val="cs-CZ" w:eastAsia="pl-PL"/>
        </w:rPr>
        <w:t>wykonany z nieoksydowanej celulozy,  </w:t>
      </w:r>
      <w:r w:rsidR="00266ACB" w:rsidRPr="00266ACB">
        <w:rPr>
          <w:lang w:eastAsia="pl-PL"/>
        </w:rPr>
        <w:t> wzmocniony na poziomie molekularnym, przeznaczony do tamowania krwawień, nie wymagający mocnego ucisku, zdolność do absorpcji płynów w kontakcie z krwią wynosi 2500% jego własnej wagi?</w:t>
      </w:r>
    </w:p>
    <w:p w:rsidR="00011F06" w:rsidRPr="00266ACB" w:rsidRDefault="00011F06" w:rsidP="00011F06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Odp.: Zamawiający dopuszcza</w:t>
      </w:r>
    </w:p>
    <w:p w:rsidR="00266ACB" w:rsidRDefault="00AD6197" w:rsidP="00AD6197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11. </w:t>
      </w:r>
      <w:r w:rsidR="00266ACB" w:rsidRPr="00266ACB">
        <w:rPr>
          <w:lang w:eastAsia="pl-PL"/>
        </w:rPr>
        <w:t>Czy Zamawiający   wyrazi zgodę na produkt pakowany po 2 szt. w saszetce z przeliczeniem zamawianej ilości?</w:t>
      </w:r>
    </w:p>
    <w:p w:rsidR="00011F06" w:rsidRPr="00266ACB" w:rsidRDefault="00011F06" w:rsidP="00011F06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Odp.: Zamawiający dopuszcza z odpowiednim przeliczeniem zamawianych ilości</w:t>
      </w:r>
    </w:p>
    <w:p w:rsidR="00266ACB" w:rsidRDefault="00AD6197" w:rsidP="00AD6197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lastRenderedPageBreak/>
        <w:t xml:space="preserve">12. </w:t>
      </w:r>
      <w:r w:rsidR="00266ACB" w:rsidRPr="00266ACB">
        <w:rPr>
          <w:lang w:eastAsia="pl-PL"/>
        </w:rPr>
        <w:t>Czy Zamawiający wyrazi zgodę na wydzielenie pozycji  48, 49 z części 5 i stworzy osobny pakiet dla tej pozycji?</w:t>
      </w:r>
    </w:p>
    <w:p w:rsidR="00011F06" w:rsidRPr="00266ACB" w:rsidRDefault="00011F06" w:rsidP="00011F06">
      <w:pPr>
        <w:suppressAutoHyphens w:val="0"/>
        <w:spacing w:before="100" w:beforeAutospacing="1" w:after="100" w:afterAutospacing="1"/>
        <w:ind w:left="360"/>
        <w:rPr>
          <w:lang w:eastAsia="pl-PL"/>
        </w:rPr>
      </w:pPr>
      <w:r>
        <w:rPr>
          <w:lang w:eastAsia="pl-PL"/>
        </w:rPr>
        <w:t>Odp.: Zamawiający nie wyraża zgody</w:t>
      </w:r>
    </w:p>
    <w:p w:rsidR="00266ACB" w:rsidRPr="00AD6197" w:rsidRDefault="00266ACB" w:rsidP="00AD619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AD6197">
        <w:rPr>
          <w:rFonts w:asciiTheme="majorHAnsi" w:hAnsiTheme="majorHAnsi" w:cstheme="majorHAnsi"/>
          <w:b/>
          <w:bCs/>
          <w:iCs/>
          <w:sz w:val="22"/>
          <w:szCs w:val="22"/>
          <w:lang w:eastAsia="pl-PL"/>
        </w:rPr>
        <w:t xml:space="preserve">Pytanie dotyczy </w:t>
      </w:r>
      <w:r w:rsidRPr="00AD6197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Pakietu nr 5 poz. 135</w:t>
      </w:r>
    </w:p>
    <w:p w:rsidR="00266ACB" w:rsidRPr="00266ACB" w:rsidRDefault="00266ACB" w:rsidP="00320B53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iCs/>
          <w:sz w:val="22"/>
          <w:szCs w:val="22"/>
          <w:lang w:eastAsia="pl-PL"/>
        </w:rPr>
      </w:pPr>
    </w:p>
    <w:p w:rsidR="00011F06" w:rsidRDefault="00266ACB" w:rsidP="00011F0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  <w:u w:val="single"/>
          <w:lang w:eastAsia="pl-PL"/>
        </w:rPr>
      </w:pPr>
      <w:r w:rsidRPr="00266ACB">
        <w:rPr>
          <w:rFonts w:asciiTheme="majorHAnsi" w:hAnsiTheme="majorHAnsi" w:cstheme="majorHAnsi"/>
          <w:sz w:val="22"/>
          <w:szCs w:val="22"/>
        </w:rPr>
        <w:t>Czy Zamawiający wyrazi zgodę na zaoferowanie</w:t>
      </w:r>
      <w:r w:rsidR="00011F06">
        <w:rPr>
          <w:rFonts w:asciiTheme="majorHAnsi" w:hAnsiTheme="majorHAnsi" w:cstheme="majorHAnsi"/>
          <w:sz w:val="22"/>
          <w:szCs w:val="22"/>
        </w:rPr>
        <w:t xml:space="preserve"> </w:t>
      </w:r>
      <w:r w:rsidRPr="00266ACB">
        <w:rPr>
          <w:rFonts w:asciiTheme="majorHAnsi" w:hAnsiTheme="majorHAnsi" w:cstheme="majorHAnsi"/>
          <w:b/>
          <w:bCs/>
          <w:iCs/>
          <w:sz w:val="22"/>
          <w:szCs w:val="22"/>
          <w:u w:val="single"/>
          <w:lang w:eastAsia="pl-PL"/>
        </w:rPr>
        <w:t xml:space="preserve">produktu </w:t>
      </w:r>
      <w:proofErr w:type="spellStart"/>
      <w:r w:rsidRPr="00266ACB">
        <w:rPr>
          <w:rFonts w:asciiTheme="majorHAnsi" w:hAnsiTheme="majorHAnsi" w:cstheme="majorHAnsi"/>
          <w:b/>
          <w:bCs/>
          <w:iCs/>
          <w:sz w:val="22"/>
          <w:szCs w:val="22"/>
          <w:u w:val="single"/>
          <w:lang w:eastAsia="pl-PL"/>
        </w:rPr>
        <w:t>równoważnego</w:t>
      </w:r>
      <w:r w:rsidRPr="00266ACB">
        <w:rPr>
          <w:rFonts w:asciiTheme="majorHAnsi" w:hAnsiTheme="majorHAnsi" w:cstheme="majorHAnsi"/>
          <w:bCs/>
          <w:iCs/>
          <w:sz w:val="22"/>
          <w:szCs w:val="22"/>
          <w:lang w:eastAsia="pl-PL"/>
        </w:rPr>
        <w:t>&lt;LIDOCAINE</w:t>
      </w:r>
      <w:proofErr w:type="spellEnd"/>
      <w:r w:rsidRPr="00266ACB">
        <w:rPr>
          <w:rFonts w:asciiTheme="majorHAnsi" w:hAnsiTheme="majorHAnsi" w:cstheme="majorHAnsi"/>
          <w:bCs/>
          <w:iCs/>
          <w:sz w:val="22"/>
          <w:szCs w:val="22"/>
          <w:lang w:eastAsia="pl-PL"/>
        </w:rPr>
        <w:t xml:space="preserve"> H/CHL. + CHLORHEXIDINUM GLUCONICUM </w:t>
      </w:r>
      <w:proofErr w:type="spellStart"/>
      <w:r w:rsidRPr="00266ACB">
        <w:rPr>
          <w:rFonts w:asciiTheme="majorHAnsi" w:hAnsiTheme="majorHAnsi" w:cstheme="majorHAnsi"/>
          <w:bCs/>
          <w:iCs/>
          <w:sz w:val="22"/>
          <w:szCs w:val="22"/>
          <w:lang w:eastAsia="pl-PL"/>
        </w:rPr>
        <w:t>soln</w:t>
      </w:r>
      <w:proofErr w:type="spellEnd"/>
      <w:r w:rsidRPr="00266ACB">
        <w:rPr>
          <w:rFonts w:asciiTheme="majorHAnsi" w:hAnsiTheme="majorHAnsi" w:cstheme="majorHAnsi"/>
          <w:bCs/>
          <w:iCs/>
          <w:sz w:val="22"/>
          <w:szCs w:val="22"/>
          <w:lang w:eastAsia="pl-PL"/>
        </w:rPr>
        <w:t xml:space="preserve">. 20% + HYDROXYBENZOESAN </w:t>
      </w:r>
      <w:proofErr w:type="spellStart"/>
      <w:r w:rsidRPr="00266ACB">
        <w:rPr>
          <w:rFonts w:asciiTheme="majorHAnsi" w:hAnsiTheme="majorHAnsi" w:cstheme="majorHAnsi"/>
          <w:bCs/>
          <w:iCs/>
          <w:sz w:val="22"/>
          <w:szCs w:val="22"/>
          <w:lang w:eastAsia="pl-PL"/>
        </w:rPr>
        <w:t>METYLU+HYDROXYBENZOESAN</w:t>
      </w:r>
      <w:proofErr w:type="spellEnd"/>
      <w:r w:rsidRPr="00266ACB">
        <w:rPr>
          <w:rFonts w:asciiTheme="majorHAnsi" w:hAnsiTheme="majorHAnsi" w:cstheme="majorHAnsi"/>
          <w:bCs/>
          <w:iCs/>
          <w:sz w:val="22"/>
          <w:szCs w:val="22"/>
          <w:lang w:eastAsia="pl-PL"/>
        </w:rPr>
        <w:t xml:space="preserve"> PROPYLU 2g + 0,25g + 0,06g+ 0,025g / 100g&gt;w wygodnych ampułkostrzykawkach z podziałką </w:t>
      </w:r>
      <w:r w:rsidRPr="00266ACB">
        <w:rPr>
          <w:rFonts w:asciiTheme="majorHAnsi" w:hAnsiTheme="majorHAnsi" w:cstheme="majorHAnsi"/>
          <w:b/>
          <w:bCs/>
          <w:iCs/>
          <w:sz w:val="22"/>
          <w:szCs w:val="22"/>
          <w:u w:val="single"/>
          <w:lang w:eastAsia="pl-PL"/>
        </w:rPr>
        <w:t>o pojemności 13g (11ml)?</w:t>
      </w:r>
    </w:p>
    <w:p w:rsidR="00011F06" w:rsidRPr="00011F06" w:rsidRDefault="00011F06" w:rsidP="00011F0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  <w:lang w:eastAsia="pl-PL"/>
        </w:rPr>
      </w:pPr>
      <w:r w:rsidRPr="00011F06">
        <w:rPr>
          <w:rFonts w:asciiTheme="majorHAnsi" w:hAnsiTheme="majorHAnsi" w:cstheme="majorHAnsi"/>
          <w:bCs/>
          <w:iCs/>
          <w:sz w:val="22"/>
          <w:szCs w:val="22"/>
          <w:lang w:eastAsia="pl-PL"/>
        </w:rPr>
        <w:t xml:space="preserve">Odp.: </w:t>
      </w:r>
      <w:r w:rsidR="00905357">
        <w:rPr>
          <w:rFonts w:asciiTheme="majorHAnsi" w:hAnsiTheme="majorHAnsi" w:cstheme="majorHAnsi"/>
          <w:bCs/>
          <w:iCs/>
          <w:sz w:val="22"/>
          <w:szCs w:val="22"/>
          <w:lang w:eastAsia="pl-PL"/>
        </w:rPr>
        <w:t>NIE, z</w:t>
      </w:r>
      <w:r w:rsidRPr="00011F06">
        <w:rPr>
          <w:rFonts w:asciiTheme="majorHAnsi" w:hAnsiTheme="majorHAnsi" w:cstheme="majorHAnsi"/>
          <w:bCs/>
          <w:iCs/>
          <w:sz w:val="22"/>
          <w:szCs w:val="22"/>
          <w:lang w:eastAsia="pl-PL"/>
        </w:rPr>
        <w:t xml:space="preserve">godnie z </w:t>
      </w:r>
      <w:proofErr w:type="spellStart"/>
      <w:r w:rsidRPr="00011F06">
        <w:rPr>
          <w:rFonts w:asciiTheme="majorHAnsi" w:hAnsiTheme="majorHAnsi" w:cstheme="majorHAnsi"/>
          <w:bCs/>
          <w:iCs/>
          <w:sz w:val="22"/>
          <w:szCs w:val="22"/>
          <w:lang w:eastAsia="pl-PL"/>
        </w:rPr>
        <w:t>siwz</w:t>
      </w:r>
      <w:proofErr w:type="spellEnd"/>
      <w:r w:rsidRPr="00011F06">
        <w:rPr>
          <w:rFonts w:asciiTheme="majorHAnsi" w:hAnsiTheme="majorHAnsi" w:cstheme="majorHAnsi"/>
          <w:bCs/>
          <w:iCs/>
          <w:sz w:val="22"/>
          <w:szCs w:val="22"/>
          <w:lang w:eastAsia="pl-PL"/>
        </w:rPr>
        <w:t xml:space="preserve">. </w:t>
      </w:r>
      <w:r>
        <w:rPr>
          <w:rFonts w:ascii="Calibri" w:hAnsi="Calibri"/>
          <w:color w:val="000000"/>
        </w:rPr>
        <w:t xml:space="preserve">Zamawiający dopuszcza preparaty równoważne zgodnie z definicją równoważności zawartą w </w:t>
      </w:r>
      <w:proofErr w:type="spellStart"/>
      <w:r>
        <w:rPr>
          <w:rFonts w:ascii="Calibri" w:hAnsi="Calibri"/>
          <w:color w:val="000000"/>
        </w:rPr>
        <w:t>pkt</w:t>
      </w:r>
      <w:proofErr w:type="spellEnd"/>
      <w:r>
        <w:rPr>
          <w:rFonts w:ascii="Calibri" w:hAnsi="Calibri"/>
          <w:color w:val="000000"/>
        </w:rPr>
        <w:t xml:space="preserve"> 3.8 </w:t>
      </w:r>
      <w:proofErr w:type="spellStart"/>
      <w:r>
        <w:rPr>
          <w:rFonts w:ascii="Calibri" w:hAnsi="Calibri"/>
          <w:color w:val="000000"/>
        </w:rPr>
        <w:t>siwz</w:t>
      </w:r>
      <w:proofErr w:type="spellEnd"/>
    </w:p>
    <w:p w:rsidR="00266ACB" w:rsidRPr="00AD6197" w:rsidRDefault="00AD6197" w:rsidP="00AD6197">
      <w:p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Segoe UI"/>
          <w:sz w:val="22"/>
          <w:szCs w:val="22"/>
        </w:rPr>
        <w:t xml:space="preserve">14. </w:t>
      </w:r>
      <w:r w:rsidR="00266ACB" w:rsidRPr="00AD6197">
        <w:rPr>
          <w:rFonts w:asciiTheme="majorHAnsi" w:hAnsiTheme="majorHAnsi" w:cs="Segoe UI"/>
          <w:sz w:val="22"/>
          <w:szCs w:val="22"/>
        </w:rPr>
        <w:t>Czy Zamawiający w pakiecie 6</w:t>
      </w:r>
      <w:r w:rsidR="00011F06" w:rsidRPr="00AD6197">
        <w:rPr>
          <w:rFonts w:asciiTheme="majorHAnsi" w:hAnsiTheme="majorHAnsi" w:cs="Segoe UI"/>
          <w:sz w:val="22"/>
          <w:szCs w:val="22"/>
        </w:rPr>
        <w:t xml:space="preserve"> </w:t>
      </w:r>
      <w:r w:rsidR="00266ACB" w:rsidRPr="00AD6197">
        <w:rPr>
          <w:rFonts w:asciiTheme="majorHAnsi" w:hAnsiTheme="majorHAnsi"/>
          <w:color w:val="000000"/>
          <w:sz w:val="22"/>
          <w:szCs w:val="22"/>
        </w:rPr>
        <w:t xml:space="preserve">poz.14 I 15wymaga stabilności fizyko-chemicznej przez 24 godziny w temperaturze 25C po </w:t>
      </w:r>
      <w:r w:rsidR="00266ACB" w:rsidRPr="00AD6197">
        <w:rPr>
          <w:rFonts w:asciiTheme="majorHAnsi" w:hAnsiTheme="majorHAnsi"/>
          <w:sz w:val="22"/>
          <w:szCs w:val="22"/>
        </w:rPr>
        <w:t xml:space="preserve">rozcieńczeniu, </w:t>
      </w:r>
      <w:r w:rsidR="00266ACB" w:rsidRPr="00AD6197">
        <w:rPr>
          <w:rFonts w:asciiTheme="majorHAnsi" w:hAnsiTheme="majorHAnsi"/>
          <w:b/>
          <w:sz w:val="22"/>
          <w:szCs w:val="22"/>
        </w:rPr>
        <w:t xml:space="preserve">potwierdzonej w obowiązującej Charakterystyce Produktu Leczniczego </w:t>
      </w:r>
      <w:proofErr w:type="spellStart"/>
      <w:r w:rsidR="00266ACB" w:rsidRPr="00AD6197">
        <w:rPr>
          <w:rFonts w:asciiTheme="majorHAnsi" w:hAnsiTheme="majorHAnsi"/>
          <w:b/>
          <w:sz w:val="22"/>
          <w:szCs w:val="22"/>
        </w:rPr>
        <w:t>ChPL</w:t>
      </w:r>
      <w:proofErr w:type="spellEnd"/>
      <w:r w:rsidR="00266ACB" w:rsidRPr="00AD6197">
        <w:rPr>
          <w:rFonts w:asciiTheme="majorHAnsi" w:hAnsiTheme="majorHAnsi"/>
          <w:sz w:val="22"/>
          <w:szCs w:val="22"/>
        </w:rPr>
        <w:t xml:space="preserve"> ? </w:t>
      </w:r>
    </w:p>
    <w:p w:rsidR="00266ACB" w:rsidRPr="00BE68A6" w:rsidRDefault="00011F06" w:rsidP="00BE68A6">
      <w:pPr>
        <w:rPr>
          <w:rFonts w:asciiTheme="majorHAnsi" w:hAnsiTheme="majorHAnsi" w:cs="Arial"/>
          <w:sz w:val="22"/>
          <w:szCs w:val="22"/>
        </w:rPr>
      </w:pPr>
      <w:r w:rsidRPr="00BE68A6">
        <w:rPr>
          <w:rFonts w:asciiTheme="majorHAnsi" w:hAnsiTheme="majorHAnsi" w:cs="Arial"/>
          <w:sz w:val="22"/>
          <w:szCs w:val="22"/>
        </w:rPr>
        <w:t xml:space="preserve">Odp.: Zamawiający </w:t>
      </w:r>
      <w:r w:rsidR="00BE68A6">
        <w:rPr>
          <w:rFonts w:asciiTheme="majorHAnsi" w:hAnsiTheme="majorHAnsi" w:cs="Arial"/>
          <w:sz w:val="22"/>
          <w:szCs w:val="22"/>
        </w:rPr>
        <w:t xml:space="preserve">nie stawia dodatkowych wymagań, </w:t>
      </w:r>
      <w:r w:rsidRPr="00BE68A6">
        <w:rPr>
          <w:rFonts w:asciiTheme="majorHAnsi" w:hAnsiTheme="majorHAnsi" w:cs="Arial"/>
          <w:sz w:val="22"/>
          <w:szCs w:val="22"/>
        </w:rPr>
        <w:t>dopuszcza</w:t>
      </w:r>
      <w:r w:rsidR="00BE68A6">
        <w:rPr>
          <w:rFonts w:asciiTheme="majorHAnsi" w:hAnsiTheme="majorHAnsi" w:cs="Arial"/>
          <w:sz w:val="22"/>
          <w:szCs w:val="22"/>
        </w:rPr>
        <w:t xml:space="preserve"> zaoferowany produkt o właściwościach wskazanych w pytaniu.</w:t>
      </w:r>
    </w:p>
    <w:p w:rsidR="00266ACB" w:rsidRPr="002E14C3" w:rsidRDefault="00266ACB" w:rsidP="00266ACB">
      <w:pPr>
        <w:suppressAutoHyphens w:val="0"/>
        <w:spacing w:before="100" w:beforeAutospacing="1" w:after="100" w:afterAutospacing="1"/>
        <w:rPr>
          <w:lang w:eastAsia="pl-PL"/>
        </w:rPr>
      </w:pPr>
      <w:r w:rsidRPr="002E14C3">
        <w:rPr>
          <w:b/>
          <w:bCs/>
          <w:lang w:eastAsia="pl-PL"/>
        </w:rPr>
        <w:t>Część nr 7, pozycja 16</w:t>
      </w:r>
    </w:p>
    <w:p w:rsidR="00266ACB" w:rsidRPr="002E14C3" w:rsidRDefault="00266ACB" w:rsidP="00011F06">
      <w:pPr>
        <w:suppressAutoHyphens w:val="0"/>
        <w:spacing w:before="100" w:beforeAutospacing="1" w:after="100" w:afterAutospacing="1"/>
        <w:rPr>
          <w:lang w:eastAsia="pl-PL"/>
        </w:rPr>
      </w:pPr>
      <w:r w:rsidRPr="002E14C3">
        <w:rPr>
          <w:lang w:eastAsia="pl-PL"/>
        </w:rPr>
        <w:t> </w:t>
      </w:r>
      <w:r w:rsidR="00011F06" w:rsidRPr="002E14C3">
        <w:rPr>
          <w:lang w:eastAsia="pl-PL"/>
        </w:rPr>
        <w:t>15.</w:t>
      </w:r>
      <w:r w:rsidRPr="002E14C3">
        <w:rPr>
          <w:lang w:eastAsia="pl-PL"/>
        </w:rPr>
        <w:t xml:space="preserve">Czy Zamawiający dopuści produkt </w:t>
      </w:r>
      <w:proofErr w:type="spellStart"/>
      <w:r w:rsidRPr="002E14C3">
        <w:rPr>
          <w:u w:val="single"/>
          <w:lang w:eastAsia="pl-PL"/>
        </w:rPr>
        <w:t>Citra-Flow</w:t>
      </w:r>
      <w:proofErr w:type="spellEnd"/>
      <w:r w:rsidRPr="002E14C3">
        <w:rPr>
          <w:u w:val="single"/>
          <w:lang w:eastAsia="pl-PL"/>
        </w:rPr>
        <w:t>™ ( cytrynian sodu ) w stężeniu 4% w postaci ampułko-strzykawki x 3m</w:t>
      </w:r>
      <w:r w:rsidRPr="002E14C3">
        <w:rPr>
          <w:lang w:eastAsia="pl-PL"/>
        </w:rPr>
        <w:t>l</w:t>
      </w:r>
      <w:r w:rsidRPr="002E14C3">
        <w:rPr>
          <w:u w:val="single"/>
          <w:lang w:eastAsia="pl-PL"/>
        </w:rPr>
        <w:t xml:space="preserve"> (objętość pełna strzykawki wynosi 10ml)</w:t>
      </w:r>
      <w:r w:rsidRPr="002E14C3">
        <w:rPr>
          <w:lang w:eastAsia="pl-PL"/>
        </w:rPr>
        <w:t xml:space="preserve"> stosowany w celu utrzymania prawidłowej drożności dostępu naczyniowego o wysokim profilu bezpieczeństwa dla pacjenta. Produkt posiada klinicznie udokumentowane działanie przeciwzakrzepowe i przeciwbakteryjne. Nie wiąże się z ryzykiem ogólnoustrojowej heparynizacji nie nasila czynnego krwawienia i jest bezpieczny u pacjentów z HIT. Specjalna budowa ampułko-strzykawki </w:t>
      </w:r>
      <w:proofErr w:type="spellStart"/>
      <w:r w:rsidRPr="002E14C3">
        <w:rPr>
          <w:lang w:eastAsia="pl-PL"/>
        </w:rPr>
        <w:t>CitraFlow</w:t>
      </w:r>
      <w:proofErr w:type="spellEnd"/>
      <w:r w:rsidRPr="002E14C3">
        <w:rPr>
          <w:lang w:eastAsia="pl-PL"/>
        </w:rPr>
        <w:t xml:space="preserve"> typu </w:t>
      </w:r>
      <w:proofErr w:type="spellStart"/>
      <w:r w:rsidRPr="002E14C3">
        <w:rPr>
          <w:lang w:eastAsia="pl-PL"/>
        </w:rPr>
        <w:t>Luer</w:t>
      </w:r>
      <w:proofErr w:type="spellEnd"/>
      <w:r w:rsidRPr="002E14C3">
        <w:rPr>
          <w:lang w:eastAsia="pl-PL"/>
        </w:rPr>
        <w:t xml:space="preserve"> Lock chroni cewnik dializacyjny i port dożylny przed uszkodzeniem gdyż maksymalne ciśnienie wytwarzane podczas infuzji do cewnika wynosi 0,96 </w:t>
      </w:r>
      <w:proofErr w:type="spellStart"/>
      <w:r w:rsidRPr="002E14C3">
        <w:rPr>
          <w:lang w:eastAsia="pl-PL"/>
        </w:rPr>
        <w:t>bara</w:t>
      </w:r>
      <w:proofErr w:type="spellEnd"/>
      <w:r w:rsidRPr="002E14C3">
        <w:rPr>
          <w:lang w:eastAsia="pl-PL"/>
        </w:rPr>
        <w:t xml:space="preserve">. Ciśnienie nie powinno nigdy przekraczać 25 psi (1,7 </w:t>
      </w:r>
      <w:proofErr w:type="spellStart"/>
      <w:r w:rsidRPr="002E14C3">
        <w:rPr>
          <w:lang w:eastAsia="pl-PL"/>
        </w:rPr>
        <w:t>bara</w:t>
      </w:r>
      <w:proofErr w:type="spellEnd"/>
      <w:r w:rsidRPr="002E14C3">
        <w:rPr>
          <w:lang w:eastAsia="pl-PL"/>
        </w:rPr>
        <w:t xml:space="preserve">) co w przypadku zwykłych strzykawek może nie spełniać tego warunku i wynosić 39 psi (2.69 </w:t>
      </w:r>
      <w:proofErr w:type="spellStart"/>
      <w:r w:rsidRPr="002E14C3">
        <w:rPr>
          <w:lang w:eastAsia="pl-PL"/>
        </w:rPr>
        <w:t>bara</w:t>
      </w:r>
      <w:proofErr w:type="spellEnd"/>
      <w:r w:rsidRPr="002E14C3">
        <w:rPr>
          <w:lang w:eastAsia="pl-PL"/>
        </w:rPr>
        <w:t xml:space="preserve">). </w:t>
      </w:r>
      <w:proofErr w:type="spellStart"/>
      <w:r w:rsidRPr="002E14C3">
        <w:rPr>
          <w:lang w:eastAsia="pl-PL"/>
        </w:rPr>
        <w:t>CitraFlow</w:t>
      </w:r>
      <w:proofErr w:type="spellEnd"/>
      <w:r w:rsidRPr="002E14C3">
        <w:rPr>
          <w:lang w:eastAsia="pl-PL"/>
        </w:rPr>
        <w:t xml:space="preserve"> w fabrycznie napełnionych ampułko-strzykawkach chroni przed utratą produktu podczas nabierania z fiolki – brak zachowanego sterylnego pola. Nie wymaga konieczności posiadania  dodatkowych strzykawek oraz igieł które w konsekwencji  podnoszą koszty leczenia pacjenta i  wydłużają czas pracy personelu medycznego. Specjalnie zaprojektowana budowa ampułko-strzykawki </w:t>
      </w:r>
      <w:proofErr w:type="spellStart"/>
      <w:r w:rsidRPr="002E14C3">
        <w:rPr>
          <w:lang w:eastAsia="pl-PL"/>
        </w:rPr>
        <w:t>CitraFlow</w:t>
      </w:r>
      <w:proofErr w:type="spellEnd"/>
      <w:r w:rsidRPr="002E14C3">
        <w:rPr>
          <w:lang w:eastAsia="pl-PL"/>
        </w:rPr>
        <w:t xml:space="preserve"> nie powoduje </w:t>
      </w:r>
      <w:proofErr w:type="spellStart"/>
      <w:r w:rsidRPr="002E14C3">
        <w:rPr>
          <w:lang w:eastAsia="pl-PL"/>
        </w:rPr>
        <w:t>refluksu</w:t>
      </w:r>
      <w:proofErr w:type="spellEnd"/>
      <w:r w:rsidRPr="002E14C3">
        <w:rPr>
          <w:lang w:eastAsia="pl-PL"/>
        </w:rPr>
        <w:t xml:space="preserve"> krwi chroniąc przed działaniem niepożądanym jak ( metaliczny posmak, mrowienie dłoni ) zabezpiecza przed tworzeniem skrzepu i nie ogranicza przepływowi krwi.  Opakowanie zawiera pojedyncze ampułko-strzykawki aseptycznie  zamknięte brak cząstek podczas otwierania opakowania ( zachowane sterylne pole ) w ilości 100 sztuk w opakowaniu zbiorczym</w:t>
      </w:r>
    </w:p>
    <w:p w:rsidR="004A3584" w:rsidRPr="00011F06" w:rsidRDefault="002E14C3" w:rsidP="004A358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iCs/>
          <w:sz w:val="22"/>
          <w:szCs w:val="22"/>
          <w:lang w:eastAsia="pl-PL"/>
        </w:rPr>
      </w:pPr>
      <w:r>
        <w:rPr>
          <w:color w:val="000000"/>
        </w:rPr>
        <w:t xml:space="preserve">Odp.: </w:t>
      </w:r>
      <w:r w:rsidR="00C97FBF">
        <w:rPr>
          <w:color w:val="000000"/>
        </w:rPr>
        <w:t>Zamawiający nie dopuszcza , z</w:t>
      </w:r>
      <w:r>
        <w:rPr>
          <w:color w:val="000000"/>
        </w:rPr>
        <w:t xml:space="preserve">godnie z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  <w:r w:rsidRPr="004A1B06">
        <w:rPr>
          <w:rFonts w:ascii="Calibri" w:hAnsi="Calibri"/>
          <w:color w:val="000000"/>
        </w:rPr>
        <w:t xml:space="preserve"> </w:t>
      </w:r>
      <w:r w:rsidR="004A3584">
        <w:rPr>
          <w:rFonts w:ascii="Calibri" w:hAnsi="Calibri"/>
          <w:color w:val="000000"/>
        </w:rPr>
        <w:t xml:space="preserve">Zamawiający dopuszcza preparaty równoważne zgodnie z definicją równoważności zawartą w </w:t>
      </w:r>
      <w:proofErr w:type="spellStart"/>
      <w:r w:rsidR="004A3584">
        <w:rPr>
          <w:rFonts w:ascii="Calibri" w:hAnsi="Calibri"/>
          <w:color w:val="000000"/>
        </w:rPr>
        <w:t>pkt</w:t>
      </w:r>
      <w:proofErr w:type="spellEnd"/>
      <w:r w:rsidR="004A3584">
        <w:rPr>
          <w:rFonts w:ascii="Calibri" w:hAnsi="Calibri"/>
          <w:color w:val="000000"/>
        </w:rPr>
        <w:t xml:space="preserve"> 3.8 </w:t>
      </w:r>
      <w:proofErr w:type="spellStart"/>
      <w:r w:rsidR="004A3584">
        <w:rPr>
          <w:rFonts w:ascii="Calibri" w:hAnsi="Calibri"/>
          <w:color w:val="000000"/>
        </w:rPr>
        <w:t>siwz</w:t>
      </w:r>
      <w:proofErr w:type="spellEnd"/>
    </w:p>
    <w:p w:rsidR="00266ACB" w:rsidRPr="00266ACB" w:rsidRDefault="00266ACB" w:rsidP="00011F06">
      <w:pPr>
        <w:suppressAutoHyphens w:val="0"/>
        <w:spacing w:before="100" w:beforeAutospacing="1" w:after="100" w:afterAutospacing="1"/>
        <w:rPr>
          <w:lang w:eastAsia="pl-PL"/>
        </w:rPr>
      </w:pPr>
      <w:r w:rsidRPr="00266ACB">
        <w:rPr>
          <w:lang w:eastAsia="pl-PL"/>
        </w:rPr>
        <w:t> </w:t>
      </w:r>
      <w:r w:rsidR="00011F06">
        <w:rPr>
          <w:lang w:eastAsia="pl-PL"/>
        </w:rPr>
        <w:t xml:space="preserve">16. </w:t>
      </w:r>
      <w:r w:rsidRPr="00266ACB">
        <w:rPr>
          <w:lang w:eastAsia="pl-PL"/>
        </w:rPr>
        <w:t xml:space="preserve">Czy Zamawiający wyrazi zgodę na wydzielenie pozycji 16 z Części nr 7 i stworzy osobny pakiet? </w:t>
      </w:r>
    </w:p>
    <w:p w:rsidR="00266ACB" w:rsidRDefault="00266ACB" w:rsidP="00266ACB">
      <w:pPr>
        <w:suppressAutoHyphens w:val="0"/>
        <w:spacing w:before="100" w:beforeAutospacing="1" w:after="100" w:afterAutospacing="1"/>
        <w:rPr>
          <w:lang w:eastAsia="pl-PL"/>
        </w:rPr>
      </w:pPr>
      <w:r w:rsidRPr="00266ACB">
        <w:rPr>
          <w:lang w:eastAsia="pl-PL"/>
        </w:rPr>
        <w:lastRenderedPageBreak/>
        <w:t>Wydzielenie pozycji stworzy Zamawiającemu możliwości na składania ofert konkurencyjnych co przełoży się na efektywne zarządzanie środkami publicznymi.</w:t>
      </w:r>
    </w:p>
    <w:p w:rsidR="00011F06" w:rsidRPr="00266ACB" w:rsidRDefault="00011F06" w:rsidP="00266ACB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Odp.: Zamawiający nie wyraża zgody</w:t>
      </w:r>
    </w:p>
    <w:p w:rsidR="00011F06" w:rsidRDefault="00011F06" w:rsidP="00011F06">
      <w:pPr>
        <w:pStyle w:val="Bezodstpw"/>
      </w:pPr>
      <w:r>
        <w:t>Część nr 16</w:t>
      </w:r>
    </w:p>
    <w:p w:rsidR="00266ACB" w:rsidRDefault="00011F06" w:rsidP="00011F06">
      <w:pPr>
        <w:pStyle w:val="Bezodstpw"/>
      </w:pPr>
      <w:r>
        <w:t>17.</w:t>
      </w:r>
      <w:r w:rsidR="00266ACB">
        <w:t xml:space="preserve"> Czy Zamawiający określając przedmiot zamówienia poprzez opis </w:t>
      </w:r>
      <w:proofErr w:type="spellStart"/>
      <w:r w:rsidR="00266ACB">
        <w:t>Clexane</w:t>
      </w:r>
      <w:proofErr w:type="spellEnd"/>
      <w:r w:rsidR="00266ACB">
        <w:t xml:space="preserve"> miał na myśli </w:t>
      </w:r>
      <w:proofErr w:type="spellStart"/>
      <w:r w:rsidR="00266ACB">
        <w:t>Enoxaparinum</w:t>
      </w:r>
      <w:proofErr w:type="spellEnd"/>
      <w:r w:rsidR="00266ACB">
        <w:t xml:space="preserve"> </w:t>
      </w:r>
      <w:proofErr w:type="spellStart"/>
      <w:r w:rsidR="00266ACB">
        <w:t>natricum</w:t>
      </w:r>
      <w:proofErr w:type="spellEnd"/>
      <w:r w:rsidR="00266ACB">
        <w:t>?</w:t>
      </w:r>
    </w:p>
    <w:p w:rsidR="00266ACB" w:rsidRDefault="00266ACB" w:rsidP="00266ACB">
      <w:pPr>
        <w:pStyle w:val="Bezodstpw"/>
      </w:pPr>
      <w:r>
        <w:t> </w:t>
      </w:r>
      <w:r w:rsidR="00011F06">
        <w:t>Odp.: Tak,  Zamawiający opisał to w Formularzu cenowym</w:t>
      </w:r>
    </w:p>
    <w:p w:rsidR="00260272" w:rsidRDefault="002E14C3" w:rsidP="00266ACB">
      <w:pPr>
        <w:pStyle w:val="Bezodstpw"/>
      </w:pPr>
      <w:r>
        <w:t> </w:t>
      </w:r>
      <w:r w:rsidR="00320B53">
        <w:t>19.</w:t>
      </w:r>
      <w:r w:rsidR="00266ACB">
        <w:t>    Czy Zamawiający dopuści w pozycji nr 8 produkt pakowany po 5 fiolek w opakowaniu?”</w:t>
      </w:r>
    </w:p>
    <w:p w:rsidR="00260272" w:rsidRDefault="00260272" w:rsidP="00266ACB">
      <w:pPr>
        <w:pStyle w:val="Bezodstpw"/>
      </w:pPr>
      <w:r>
        <w:t>Odp.: Zamawiający dopuszcza z odpowiednim przeliczeniem zamawianych ilości</w:t>
      </w:r>
    </w:p>
    <w:p w:rsidR="001D6E5C" w:rsidRPr="002E14C3" w:rsidRDefault="00266ACB" w:rsidP="001D6E5C">
      <w:pPr>
        <w:jc w:val="both"/>
        <w:rPr>
          <w:u w:val="single"/>
        </w:rPr>
      </w:pPr>
      <w:r w:rsidRPr="002E14C3">
        <w:t> </w:t>
      </w:r>
      <w:r w:rsidR="001D6E5C" w:rsidRPr="002E14C3">
        <w:rPr>
          <w:u w:val="single"/>
        </w:rPr>
        <w:t>Poniższe pytanie dotyczy opisu przedmiotu zamówienia w Części 5 poz. 107 w przedmiotowym postępowaniu:</w:t>
      </w:r>
    </w:p>
    <w:p w:rsidR="001D6E5C" w:rsidRDefault="00320B53" w:rsidP="00260272">
      <w:pPr>
        <w:suppressAutoHyphens w:val="0"/>
        <w:spacing w:after="200" w:line="276" w:lineRule="auto"/>
      </w:pPr>
      <w:r w:rsidRPr="002E14C3">
        <w:t xml:space="preserve">20. </w:t>
      </w:r>
      <w:r w:rsidR="001D6E5C" w:rsidRPr="002E14C3">
        <w:t xml:space="preserve">Czy Zamawiający dopuści zaoferowanie produktu </w:t>
      </w:r>
      <w:proofErr w:type="spellStart"/>
      <w:r w:rsidR="001D6E5C" w:rsidRPr="002E14C3">
        <w:t>EncapsaDr</w:t>
      </w:r>
      <w:proofErr w:type="spellEnd"/>
      <w:r w:rsidR="001D6E5C" w:rsidRPr="002E14C3">
        <w:t xml:space="preserve">, będącego suplementem diety, zawierającego żywe, </w:t>
      </w:r>
      <w:proofErr w:type="spellStart"/>
      <w:r w:rsidR="001D6E5C" w:rsidRPr="002E14C3">
        <w:t>mikroenkapsulowane</w:t>
      </w:r>
      <w:proofErr w:type="spellEnd"/>
      <w:r w:rsidR="001D6E5C" w:rsidRPr="002E14C3">
        <w:t xml:space="preserve"> bakterie </w:t>
      </w:r>
      <w:proofErr w:type="spellStart"/>
      <w:r w:rsidR="001D6E5C" w:rsidRPr="002E14C3">
        <w:t>probiotyczne</w:t>
      </w:r>
      <w:proofErr w:type="spellEnd"/>
      <w:r w:rsidR="001D6E5C" w:rsidRPr="002E14C3">
        <w:t xml:space="preserve"> szczepu bakterii </w:t>
      </w:r>
      <w:proofErr w:type="spellStart"/>
      <w:r w:rsidR="001D6E5C" w:rsidRPr="002E14C3">
        <w:t>probiotycznych</w:t>
      </w:r>
      <w:proofErr w:type="spellEnd"/>
      <w:r w:rsidR="001D6E5C" w:rsidRPr="002E14C3">
        <w:t xml:space="preserve"> </w:t>
      </w:r>
      <w:proofErr w:type="spellStart"/>
      <w:r w:rsidR="001D6E5C" w:rsidRPr="002E14C3">
        <w:t>Lactobacillus</w:t>
      </w:r>
      <w:proofErr w:type="spellEnd"/>
      <w:r w:rsidR="001D6E5C" w:rsidRPr="002E14C3">
        <w:t xml:space="preserve"> </w:t>
      </w:r>
      <w:proofErr w:type="spellStart"/>
      <w:r w:rsidR="001D6E5C" w:rsidRPr="002E14C3">
        <w:t>rhamnosus</w:t>
      </w:r>
      <w:proofErr w:type="spellEnd"/>
      <w:r w:rsidR="001D6E5C" w:rsidRPr="002E14C3">
        <w:t xml:space="preserve"> GG ATTC53103 (stężenie żywych kultur </w:t>
      </w:r>
      <w:proofErr w:type="spellStart"/>
      <w:r w:rsidR="001D6E5C" w:rsidRPr="002E14C3">
        <w:t>mikroenkapsulowanych</w:t>
      </w:r>
      <w:proofErr w:type="spellEnd"/>
      <w:r w:rsidR="001D6E5C" w:rsidRPr="002E14C3">
        <w:t xml:space="preserve"> bakterii wynosi 1,2 mld CFU/ kapsułkę – badania naukowe dowodzą, że odpowiada ono skuteczności 6 mld bakterii liofilizowanych). Technika </w:t>
      </w:r>
      <w:proofErr w:type="spellStart"/>
      <w:r w:rsidR="001D6E5C" w:rsidRPr="002E14C3">
        <w:t>mikroenkapsulacji</w:t>
      </w:r>
      <w:proofErr w:type="spellEnd"/>
      <w:r w:rsidR="001D6E5C" w:rsidRPr="002E14C3">
        <w:t xml:space="preserve"> zapewnia wyższą skuteczność kolonizacji jelita przez bakterie, większą odporność na działanie czynników zewnętrznych oraz pozwala na wydłużenie okresu stabilności produktu.</w:t>
      </w:r>
    </w:p>
    <w:p w:rsidR="002E14C3" w:rsidRPr="00C5631F" w:rsidRDefault="002E14C3" w:rsidP="002E14C3">
      <w:pPr>
        <w:rPr>
          <w:color w:val="000000"/>
        </w:rPr>
      </w:pPr>
      <w:r>
        <w:rPr>
          <w:color w:val="000000"/>
        </w:rPr>
        <w:t xml:space="preserve">Odp.: Zgodnie z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  <w:r w:rsidRPr="004A1B0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Zamawiający dopuszcza preparaty równoważne zgodnie z definicją równoważności zawartą w </w:t>
      </w:r>
      <w:proofErr w:type="spellStart"/>
      <w:r>
        <w:rPr>
          <w:rFonts w:ascii="Calibri" w:hAnsi="Calibri"/>
          <w:color w:val="000000"/>
        </w:rPr>
        <w:t>pkt</w:t>
      </w:r>
      <w:proofErr w:type="spellEnd"/>
      <w:r>
        <w:rPr>
          <w:rFonts w:ascii="Calibri" w:hAnsi="Calibri"/>
          <w:color w:val="000000"/>
        </w:rPr>
        <w:t xml:space="preserve"> 3.8 </w:t>
      </w:r>
      <w:proofErr w:type="spellStart"/>
      <w:r>
        <w:rPr>
          <w:rFonts w:ascii="Calibri" w:hAnsi="Calibri"/>
          <w:color w:val="000000"/>
        </w:rPr>
        <w:t>siwz</w:t>
      </w:r>
      <w:proofErr w:type="spellEnd"/>
      <w:r>
        <w:rPr>
          <w:rFonts w:ascii="Calibri" w:hAnsi="Calibri"/>
          <w:color w:val="000000"/>
        </w:rPr>
        <w:t>.</w:t>
      </w:r>
    </w:p>
    <w:p w:rsidR="002E14C3" w:rsidRPr="002E14C3" w:rsidRDefault="002E14C3" w:rsidP="00260272">
      <w:pPr>
        <w:suppressAutoHyphens w:val="0"/>
        <w:spacing w:after="200" w:line="276" w:lineRule="auto"/>
        <w:rPr>
          <w:rFonts w:cs="Calibri"/>
        </w:rPr>
      </w:pPr>
    </w:p>
    <w:p w:rsidR="001D6E5C" w:rsidRPr="002E14C3" w:rsidRDefault="001D6E5C" w:rsidP="001D6E5C">
      <w:pPr>
        <w:rPr>
          <w:rFonts w:cs="Calibri"/>
          <w:bCs/>
          <w:u w:val="single"/>
        </w:rPr>
      </w:pPr>
      <w:r w:rsidRPr="002E14C3">
        <w:rPr>
          <w:rFonts w:cs="Calibri"/>
          <w:bCs/>
          <w:u w:val="single"/>
        </w:rPr>
        <w:t>Poniższe pytania dotyczą opisu przedmiotu zamówienia w Części 5 poz. 239 w przedmiotowym postępowaniu:</w:t>
      </w:r>
    </w:p>
    <w:p w:rsidR="001D6E5C" w:rsidRPr="00D40648" w:rsidRDefault="00D40648" w:rsidP="00D40648">
      <w:pPr>
        <w:suppressAutoHyphens w:val="0"/>
        <w:spacing w:after="200" w:line="276" w:lineRule="auto"/>
        <w:rPr>
          <w:rFonts w:cs="Calibri"/>
        </w:rPr>
      </w:pPr>
      <w:r>
        <w:rPr>
          <w:rFonts w:cs="Calibri"/>
          <w:bCs/>
        </w:rPr>
        <w:t xml:space="preserve">21. </w:t>
      </w:r>
      <w:r w:rsidR="001D6E5C" w:rsidRPr="00D40648">
        <w:rPr>
          <w:rFonts w:cs="Calibri"/>
          <w:bCs/>
        </w:rPr>
        <w:t xml:space="preserve">Czy z uwagi na zamieszczenie w opisie przedmiotu zamówienia nazwy własnej kosmetyku będącej zastrzeżonym znakiem towarowym konkretnego wytwórcy, Zamawiający dopuści spełniający te same cele produkt </w:t>
      </w:r>
      <w:proofErr w:type="spellStart"/>
      <w:r w:rsidR="001D6E5C" w:rsidRPr="00D40648">
        <w:rPr>
          <w:rFonts w:cs="Calibri"/>
          <w:bCs/>
        </w:rPr>
        <w:t>ZinoDr</w:t>
      </w:r>
      <w:proofErr w:type="spellEnd"/>
      <w:r w:rsidR="001D6E5C" w:rsidRPr="00D40648">
        <w:rPr>
          <w:rFonts w:cs="Calibri"/>
          <w:bCs/>
        </w:rPr>
        <w:t xml:space="preserve">. o identycznym statusie rejestracyjnym oraz o takim samym wskazaniu; konfekcjonowany w opakowaniach o masie 125 g? </w:t>
      </w:r>
    </w:p>
    <w:p w:rsidR="002E14C3" w:rsidRPr="002E14C3" w:rsidRDefault="00294B53" w:rsidP="00294B53">
      <w:pPr>
        <w:rPr>
          <w:color w:val="000000"/>
        </w:rPr>
      </w:pPr>
      <w:r>
        <w:rPr>
          <w:color w:val="000000"/>
        </w:rPr>
        <w:t>O</w:t>
      </w:r>
      <w:r w:rsidR="002E14C3" w:rsidRPr="002E14C3">
        <w:rPr>
          <w:color w:val="000000"/>
        </w:rPr>
        <w:t xml:space="preserve">dp.: Zgodnie z </w:t>
      </w:r>
      <w:proofErr w:type="spellStart"/>
      <w:r w:rsidR="002E14C3" w:rsidRPr="002E14C3">
        <w:rPr>
          <w:color w:val="000000"/>
        </w:rPr>
        <w:t>siwz</w:t>
      </w:r>
      <w:proofErr w:type="spellEnd"/>
      <w:r w:rsidR="002E14C3" w:rsidRPr="002E14C3">
        <w:rPr>
          <w:color w:val="000000"/>
        </w:rPr>
        <w:t>.</w:t>
      </w:r>
      <w:r w:rsidR="002E14C3" w:rsidRPr="002E14C3">
        <w:rPr>
          <w:rFonts w:ascii="Calibri" w:hAnsi="Calibri"/>
          <w:color w:val="000000"/>
        </w:rPr>
        <w:t xml:space="preserve"> Zamawiający dopuszcza preparaty równoważne zgodnie z definicją równoważności zawartą w </w:t>
      </w:r>
      <w:proofErr w:type="spellStart"/>
      <w:r w:rsidR="002E14C3" w:rsidRPr="002E14C3">
        <w:rPr>
          <w:rFonts w:ascii="Calibri" w:hAnsi="Calibri"/>
          <w:color w:val="000000"/>
        </w:rPr>
        <w:t>pkt</w:t>
      </w:r>
      <w:proofErr w:type="spellEnd"/>
      <w:r w:rsidR="002E14C3" w:rsidRPr="002E14C3">
        <w:rPr>
          <w:rFonts w:ascii="Calibri" w:hAnsi="Calibri"/>
          <w:color w:val="000000"/>
        </w:rPr>
        <w:t xml:space="preserve"> 3.8 </w:t>
      </w:r>
      <w:proofErr w:type="spellStart"/>
      <w:r w:rsidR="002E14C3" w:rsidRPr="002E14C3">
        <w:rPr>
          <w:rFonts w:ascii="Calibri" w:hAnsi="Calibri"/>
          <w:color w:val="000000"/>
        </w:rPr>
        <w:t>siwz</w:t>
      </w:r>
      <w:proofErr w:type="spellEnd"/>
      <w:r w:rsidR="002E14C3" w:rsidRPr="002E14C3">
        <w:rPr>
          <w:rFonts w:ascii="Calibri" w:hAnsi="Calibri"/>
          <w:color w:val="000000"/>
        </w:rPr>
        <w:t>.</w:t>
      </w:r>
    </w:p>
    <w:p w:rsidR="001D6E5C" w:rsidRPr="002E14C3" w:rsidRDefault="001D6E5C" w:rsidP="001D6E5C">
      <w:pPr>
        <w:suppressAutoHyphens w:val="0"/>
        <w:spacing w:before="100" w:beforeAutospacing="1" w:after="100" w:afterAutospacing="1"/>
        <w:rPr>
          <w:lang w:eastAsia="pl-PL"/>
        </w:rPr>
      </w:pPr>
      <w:r w:rsidRPr="002E14C3">
        <w:rPr>
          <w:lang w:eastAsia="pl-PL"/>
        </w:rPr>
        <w:t>część 7 pozycja 16  termin </w:t>
      </w:r>
    </w:p>
    <w:p w:rsidR="001D6E5C" w:rsidRDefault="00D40648" w:rsidP="00D40648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22. </w:t>
      </w:r>
      <w:r w:rsidR="001D6E5C" w:rsidRPr="002E14C3">
        <w:rPr>
          <w:lang w:eastAsia="pl-PL"/>
        </w:rPr>
        <w:t>Czy Zamawiający dopuści  produkt </w:t>
      </w:r>
      <w:proofErr w:type="spellStart"/>
      <w:r w:rsidR="001D6E5C" w:rsidRPr="002E14C3">
        <w:rPr>
          <w:lang w:eastAsia="pl-PL"/>
        </w:rPr>
        <w:t>Citra-Lock</w:t>
      </w:r>
      <w:proofErr w:type="spellEnd"/>
      <w:r w:rsidR="001D6E5C" w:rsidRPr="002E14C3">
        <w:rPr>
          <w:lang w:eastAsia="pl-PL"/>
        </w:rPr>
        <w:t xml:space="preserve">™ ( cytrynian sodu ) w stężeniu 4% w postaci bezigłowej ampułki x 5ml  z systemem </w:t>
      </w:r>
      <w:proofErr w:type="spellStart"/>
      <w:r w:rsidR="001D6E5C" w:rsidRPr="002E14C3">
        <w:rPr>
          <w:lang w:eastAsia="pl-PL"/>
        </w:rPr>
        <w:t>Luer</w:t>
      </w:r>
      <w:proofErr w:type="spellEnd"/>
      <w:r w:rsidR="001D6E5C" w:rsidRPr="002E14C3">
        <w:rPr>
          <w:lang w:eastAsia="pl-PL"/>
        </w:rPr>
        <w:t xml:space="preserve"> Slip, </w:t>
      </w:r>
      <w:proofErr w:type="spellStart"/>
      <w:r w:rsidR="001D6E5C" w:rsidRPr="002E14C3">
        <w:rPr>
          <w:lang w:eastAsia="pl-PL"/>
        </w:rPr>
        <w:t>Luer</w:t>
      </w:r>
      <w:proofErr w:type="spellEnd"/>
      <w:r w:rsidR="001D6E5C" w:rsidRPr="002E14C3">
        <w:rPr>
          <w:lang w:eastAsia="pl-PL"/>
        </w:rPr>
        <w:t xml:space="preserve"> Lock skuteczność potwierdzona wieloma badaniami klinicznymi w porównaniu  do Heparyny, stosowany w celu utrzymania prawidłowej drożności cewnika i/lub portu dożylnego ograniczając krwawienia ( pacjenci z HIT ), stosowany  jako skuteczne i bezpieczne rozwiązanie przeciwzakrzepowe i przeciwbakteryjne?</w:t>
      </w:r>
    </w:p>
    <w:p w:rsidR="001D6E5C" w:rsidRDefault="00D40648" w:rsidP="00D40648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lastRenderedPageBreak/>
        <w:t xml:space="preserve">23. </w:t>
      </w:r>
      <w:r w:rsidR="001D6E5C" w:rsidRPr="002E14C3">
        <w:rPr>
          <w:lang w:eastAsia="pl-PL"/>
        </w:rPr>
        <w:t xml:space="preserve">Czy Zamawiający dopuści produkt o pojemności 5 ml  pakowany po 20 szt. w kartonie z przeliczeniem zamawianej ilości?  </w:t>
      </w:r>
    </w:p>
    <w:p w:rsidR="00294B53" w:rsidRPr="00011F06" w:rsidRDefault="002E14C3" w:rsidP="00294B5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iCs/>
          <w:sz w:val="22"/>
          <w:szCs w:val="22"/>
          <w:lang w:eastAsia="pl-PL"/>
        </w:rPr>
      </w:pPr>
      <w:r>
        <w:rPr>
          <w:lang w:eastAsia="pl-PL"/>
        </w:rPr>
        <w:t xml:space="preserve">Odp.: </w:t>
      </w:r>
      <w:r w:rsidR="00B966AD">
        <w:rPr>
          <w:lang w:eastAsia="pl-PL"/>
        </w:rPr>
        <w:t xml:space="preserve">na pyt.22 i 23 Zamawiający nie dopuszcza, zgodnie z </w:t>
      </w:r>
      <w:proofErr w:type="spellStart"/>
      <w:r w:rsidR="00B966AD">
        <w:rPr>
          <w:lang w:eastAsia="pl-PL"/>
        </w:rPr>
        <w:t>siwz</w:t>
      </w:r>
      <w:proofErr w:type="spellEnd"/>
      <w:r w:rsidR="00294B53">
        <w:rPr>
          <w:lang w:eastAsia="pl-PL"/>
        </w:rPr>
        <w:t>.</w:t>
      </w:r>
      <w:r w:rsidR="00294B53" w:rsidRPr="00294B53">
        <w:rPr>
          <w:rFonts w:ascii="Calibri" w:hAnsi="Calibri"/>
          <w:color w:val="000000"/>
        </w:rPr>
        <w:t xml:space="preserve"> </w:t>
      </w:r>
      <w:r w:rsidR="00294B53">
        <w:rPr>
          <w:rFonts w:ascii="Calibri" w:hAnsi="Calibri"/>
          <w:color w:val="000000"/>
        </w:rPr>
        <w:t xml:space="preserve">Zamawiający dopuszcza preparaty równoważne zgodnie z definicją równoważności zawartą w </w:t>
      </w:r>
      <w:proofErr w:type="spellStart"/>
      <w:r w:rsidR="00294B53">
        <w:rPr>
          <w:rFonts w:ascii="Calibri" w:hAnsi="Calibri"/>
          <w:color w:val="000000"/>
        </w:rPr>
        <w:t>pkt</w:t>
      </w:r>
      <w:proofErr w:type="spellEnd"/>
      <w:r w:rsidR="00294B53">
        <w:rPr>
          <w:rFonts w:ascii="Calibri" w:hAnsi="Calibri"/>
          <w:color w:val="000000"/>
        </w:rPr>
        <w:t xml:space="preserve"> 3.8 </w:t>
      </w:r>
      <w:proofErr w:type="spellStart"/>
      <w:r w:rsidR="00294B53">
        <w:rPr>
          <w:rFonts w:ascii="Calibri" w:hAnsi="Calibri"/>
          <w:color w:val="000000"/>
        </w:rPr>
        <w:t>siwz</w:t>
      </w:r>
      <w:proofErr w:type="spellEnd"/>
    </w:p>
    <w:p w:rsidR="00260272" w:rsidRPr="00D40648" w:rsidRDefault="00D40648" w:rsidP="00D4064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24. </w:t>
      </w:r>
      <w:r w:rsidR="00260272" w:rsidRPr="00D40648">
        <w:rPr>
          <w:rFonts w:ascii="Arial" w:hAnsi="Arial" w:cs="Arial"/>
          <w:b/>
          <w:bCs/>
          <w:sz w:val="20"/>
          <w:szCs w:val="20"/>
        </w:rPr>
        <w:t>Pytanie</w:t>
      </w:r>
      <w:r w:rsidR="00260272" w:rsidRPr="00D40648">
        <w:rPr>
          <w:rFonts w:ascii="Arial" w:hAnsi="Arial" w:cs="Arial"/>
          <w:b/>
          <w:sz w:val="20"/>
          <w:szCs w:val="20"/>
        </w:rPr>
        <w:t xml:space="preserve"> – ZADANIE NR 3 .</w:t>
      </w:r>
    </w:p>
    <w:p w:rsidR="00260272" w:rsidRDefault="00260272" w:rsidP="00260272">
      <w:pPr>
        <w:suppressAutoHyphens w:val="0"/>
        <w:rPr>
          <w:rFonts w:ascii="Arial" w:hAnsi="Arial" w:cs="Arial"/>
          <w:sz w:val="20"/>
          <w:szCs w:val="20"/>
        </w:rPr>
      </w:pPr>
      <w:r w:rsidRPr="00C96040">
        <w:rPr>
          <w:rFonts w:ascii="Arial" w:hAnsi="Arial" w:cs="Arial"/>
          <w:sz w:val="20"/>
          <w:szCs w:val="20"/>
        </w:rPr>
        <w:t>Czy Zamawiający wyrazi zgodę na wydziele</w:t>
      </w:r>
      <w:r w:rsidR="00294B53">
        <w:rPr>
          <w:rFonts w:ascii="Arial" w:hAnsi="Arial" w:cs="Arial"/>
          <w:sz w:val="20"/>
          <w:szCs w:val="20"/>
        </w:rPr>
        <w:t>n</w:t>
      </w:r>
      <w:r w:rsidRPr="00C96040">
        <w:rPr>
          <w:rFonts w:ascii="Arial" w:hAnsi="Arial" w:cs="Arial"/>
          <w:sz w:val="20"/>
          <w:szCs w:val="20"/>
        </w:rPr>
        <w:t xml:space="preserve">ie z </w:t>
      </w:r>
      <w:r>
        <w:rPr>
          <w:rFonts w:ascii="Arial" w:hAnsi="Arial" w:cs="Arial"/>
          <w:sz w:val="20"/>
          <w:szCs w:val="20"/>
        </w:rPr>
        <w:t xml:space="preserve">zadania </w:t>
      </w:r>
      <w:r w:rsidRPr="00C96040">
        <w:rPr>
          <w:rFonts w:ascii="Arial" w:hAnsi="Arial" w:cs="Arial"/>
          <w:sz w:val="20"/>
          <w:szCs w:val="20"/>
        </w:rPr>
        <w:t>3 poz.19,</w:t>
      </w:r>
      <w:r>
        <w:rPr>
          <w:rFonts w:ascii="Arial" w:hAnsi="Arial" w:cs="Arial"/>
          <w:sz w:val="20"/>
          <w:szCs w:val="20"/>
        </w:rPr>
        <w:t xml:space="preserve"> </w:t>
      </w:r>
      <w:r w:rsidRPr="00C96040">
        <w:rPr>
          <w:rFonts w:ascii="Arial" w:hAnsi="Arial" w:cs="Arial"/>
          <w:sz w:val="20"/>
          <w:szCs w:val="20"/>
        </w:rPr>
        <w:t xml:space="preserve">58 ? </w:t>
      </w:r>
    </w:p>
    <w:p w:rsidR="00266ACB" w:rsidRDefault="00260272" w:rsidP="00260272">
      <w:pPr>
        <w:pStyle w:val="Bezodstpw"/>
        <w:rPr>
          <w:rFonts w:ascii="Arial" w:hAnsi="Arial" w:cs="Arial"/>
          <w:sz w:val="20"/>
          <w:szCs w:val="20"/>
        </w:rPr>
      </w:pPr>
      <w:r w:rsidRPr="00C96040">
        <w:rPr>
          <w:rFonts w:ascii="Arial" w:hAnsi="Arial" w:cs="Arial"/>
          <w:sz w:val="20"/>
          <w:szCs w:val="20"/>
        </w:rPr>
        <w:t>Przychylenie się do naszego zapytania spowoduje możliwoś</w:t>
      </w:r>
      <w:r w:rsidR="00F46432">
        <w:rPr>
          <w:rFonts w:ascii="Arial" w:hAnsi="Arial" w:cs="Arial"/>
          <w:sz w:val="20"/>
          <w:szCs w:val="20"/>
        </w:rPr>
        <w:t>ć</w:t>
      </w:r>
      <w:r w:rsidRPr="00C96040">
        <w:rPr>
          <w:rFonts w:ascii="Arial" w:hAnsi="Arial" w:cs="Arial"/>
          <w:sz w:val="20"/>
          <w:szCs w:val="20"/>
        </w:rPr>
        <w:t xml:space="preserve"> składania konkurencyjnych ofer</w:t>
      </w:r>
      <w:r w:rsidR="00F46432">
        <w:rPr>
          <w:rFonts w:ascii="Arial" w:hAnsi="Arial" w:cs="Arial"/>
          <w:sz w:val="20"/>
          <w:szCs w:val="20"/>
        </w:rPr>
        <w:t>t</w:t>
      </w:r>
      <w:r w:rsidRPr="00C96040">
        <w:rPr>
          <w:rFonts w:ascii="Arial" w:hAnsi="Arial" w:cs="Arial"/>
          <w:sz w:val="20"/>
          <w:szCs w:val="20"/>
        </w:rPr>
        <w:t xml:space="preserve"> i uzyskanie korz</w:t>
      </w:r>
      <w:r w:rsidR="00F46432">
        <w:rPr>
          <w:rFonts w:ascii="Arial" w:hAnsi="Arial" w:cs="Arial"/>
          <w:sz w:val="20"/>
          <w:szCs w:val="20"/>
        </w:rPr>
        <w:t>ystniejszych cen przez Zamawiają</w:t>
      </w:r>
      <w:r w:rsidRPr="00C96040">
        <w:rPr>
          <w:rFonts w:ascii="Arial" w:hAnsi="Arial" w:cs="Arial"/>
          <w:sz w:val="20"/>
          <w:szCs w:val="20"/>
        </w:rPr>
        <w:t>cego</w:t>
      </w:r>
    </w:p>
    <w:p w:rsidR="00260272" w:rsidRDefault="00260272" w:rsidP="00260272">
      <w:pPr>
        <w:pStyle w:val="Bezodstpw"/>
      </w:pPr>
      <w:r>
        <w:rPr>
          <w:rFonts w:ascii="Arial" w:hAnsi="Arial" w:cs="Arial"/>
          <w:sz w:val="20"/>
          <w:szCs w:val="20"/>
        </w:rPr>
        <w:t>Odp.: Zamawiający nie wyraża zgody</w:t>
      </w:r>
    </w:p>
    <w:p w:rsidR="00DC7A31" w:rsidRPr="00D40648" w:rsidRDefault="00D40648" w:rsidP="00D40648">
      <w:pPr>
        <w:rPr>
          <w:b/>
        </w:rPr>
      </w:pPr>
      <w:r>
        <w:rPr>
          <w:b/>
        </w:rPr>
        <w:t xml:space="preserve">25. </w:t>
      </w:r>
      <w:r w:rsidR="00DC7A31" w:rsidRPr="00D40648">
        <w:rPr>
          <w:b/>
        </w:rPr>
        <w:t>Dotyczy:</w:t>
      </w:r>
      <w:r w:rsidR="008D5F29">
        <w:rPr>
          <w:b/>
        </w:rPr>
        <w:t xml:space="preserve"> </w:t>
      </w:r>
      <w:r w:rsidR="00DC7A31" w:rsidRPr="00D40648">
        <w:rPr>
          <w:b/>
        </w:rPr>
        <w:t>część 5, pozycja 107</w:t>
      </w:r>
    </w:p>
    <w:p w:rsidR="00DC7A31" w:rsidRDefault="00DC7A31" w:rsidP="00DC7A31">
      <w:r>
        <w:t xml:space="preserve">Czy zamawiający dopuszcza możliwość zaoferowania produktu </w:t>
      </w:r>
      <w:proofErr w:type="spellStart"/>
      <w:r>
        <w:t>Diflos</w:t>
      </w:r>
      <w:proofErr w:type="spellEnd"/>
      <w:r>
        <w:t xml:space="preserve"> 60 o równoważnym działaniu?</w:t>
      </w:r>
    </w:p>
    <w:p w:rsidR="00DC7A31" w:rsidRDefault="00DC7A31" w:rsidP="00DC7A31">
      <w:proofErr w:type="spellStart"/>
      <w:r>
        <w:t>Diflos</w:t>
      </w:r>
      <w:proofErr w:type="spellEnd"/>
      <w:r>
        <w:t xml:space="preserve"> 60 posiada w swoim składzie </w:t>
      </w:r>
      <w:proofErr w:type="spellStart"/>
      <w:r>
        <w:t>mikroenkapsulowane</w:t>
      </w:r>
      <w:proofErr w:type="spellEnd"/>
      <w:r>
        <w:t xml:space="preserve"> żywe bakterie </w:t>
      </w:r>
      <w:proofErr w:type="spellStart"/>
      <w:r>
        <w:t>Lactobacillusrhamnosus</w:t>
      </w:r>
      <w:proofErr w:type="spellEnd"/>
      <w:r>
        <w:t xml:space="preserve"> GG (ATCC 53103). </w:t>
      </w:r>
    </w:p>
    <w:p w:rsidR="00DC7A31" w:rsidRDefault="00DC7A31" w:rsidP="00DC7A31">
      <w:pPr>
        <w:jc w:val="both"/>
      </w:pPr>
      <w:r>
        <w:t xml:space="preserve">Technologia </w:t>
      </w:r>
      <w:proofErr w:type="spellStart"/>
      <w:r>
        <w:t>mikroenkaspulacji</w:t>
      </w:r>
      <w:proofErr w:type="spellEnd"/>
      <w:r>
        <w:t xml:space="preserve"> uznawana jest za przyszłość produkcji </w:t>
      </w:r>
      <w:proofErr w:type="spellStart"/>
      <w:r>
        <w:t>probiotyków</w:t>
      </w:r>
      <w:proofErr w:type="spellEnd"/>
      <w:r>
        <w:t xml:space="preserve">. Bakterie dzięki tej technologii efektywniej kolonizują jelito ponieważ dzięki specjalnej otoczce są bardziej odporne na działanie zewnętrznego otoczenia (wilgotności, kwasowości, ciśnienia osmotycznego, tlenu i światła). Badania naukowe wykazują, że 1 miliard </w:t>
      </w:r>
      <w:proofErr w:type="spellStart"/>
      <w:r>
        <w:t>mikroenkapsulowanych</w:t>
      </w:r>
      <w:proofErr w:type="spellEnd"/>
      <w:r>
        <w:t xml:space="preserve"> żywych bakterii LGG ma taką samą skuteczność kolonizacji jak 5 miliardów liofilizowanych bakterii LGG. </w:t>
      </w:r>
      <w:proofErr w:type="spellStart"/>
      <w:r>
        <w:t>Mikroenkapsualcja</w:t>
      </w:r>
      <w:proofErr w:type="spellEnd"/>
      <w:r>
        <w:t xml:space="preserve"> pozwala na zmniejszenie ilości bakterii, zwiększenie bezpieczeństwa stosowania oraz na wydłużenie terminu przydatności do użycia. </w:t>
      </w:r>
    </w:p>
    <w:p w:rsidR="00DC7A31" w:rsidRDefault="00DC7A31" w:rsidP="00DC7A31">
      <w:pPr>
        <w:jc w:val="both"/>
      </w:pPr>
      <w:r>
        <w:t xml:space="preserve">Produkt </w:t>
      </w:r>
      <w:proofErr w:type="spellStart"/>
      <w:r>
        <w:t>Diflos</w:t>
      </w:r>
      <w:proofErr w:type="spellEnd"/>
      <w:r>
        <w:t xml:space="preserve"> 60 (opakowanie – 20 kapsułek) zawiera w jednej kapsułce 1,2 mld </w:t>
      </w:r>
      <w:proofErr w:type="spellStart"/>
      <w:r>
        <w:t>mikroenkapsulowanych</w:t>
      </w:r>
      <w:proofErr w:type="spellEnd"/>
      <w:r>
        <w:t xml:space="preserve"> bakterii LGG, co odpowiada skuteczności 6 mld bakterii liofilizowanych. </w:t>
      </w:r>
    </w:p>
    <w:p w:rsidR="001261DE" w:rsidRPr="002E14C3" w:rsidRDefault="001261DE" w:rsidP="00724B18">
      <w:pPr>
        <w:rPr>
          <w:color w:val="000000"/>
        </w:rPr>
      </w:pPr>
      <w:r w:rsidRPr="002E14C3">
        <w:rPr>
          <w:color w:val="000000"/>
        </w:rPr>
        <w:t xml:space="preserve">Odp.: Zgodnie z </w:t>
      </w:r>
      <w:proofErr w:type="spellStart"/>
      <w:r w:rsidRPr="002E14C3">
        <w:rPr>
          <w:color w:val="000000"/>
        </w:rPr>
        <w:t>siwz</w:t>
      </w:r>
      <w:proofErr w:type="spellEnd"/>
      <w:r w:rsidRPr="002E14C3">
        <w:rPr>
          <w:color w:val="000000"/>
        </w:rPr>
        <w:t>.</w:t>
      </w:r>
      <w:r w:rsidRPr="002E14C3">
        <w:rPr>
          <w:rFonts w:ascii="Calibri" w:hAnsi="Calibri"/>
          <w:color w:val="000000"/>
        </w:rPr>
        <w:t xml:space="preserve"> Zamawiający dopuszcza preparaty równoważne zgodnie z definicją równoważności zawartą w </w:t>
      </w:r>
      <w:proofErr w:type="spellStart"/>
      <w:r w:rsidRPr="002E14C3">
        <w:rPr>
          <w:rFonts w:ascii="Calibri" w:hAnsi="Calibri"/>
          <w:color w:val="000000"/>
        </w:rPr>
        <w:t>pkt</w:t>
      </w:r>
      <w:proofErr w:type="spellEnd"/>
      <w:r w:rsidRPr="002E14C3">
        <w:rPr>
          <w:rFonts w:ascii="Calibri" w:hAnsi="Calibri"/>
          <w:color w:val="000000"/>
        </w:rPr>
        <w:t xml:space="preserve"> 3.8 </w:t>
      </w:r>
      <w:proofErr w:type="spellStart"/>
      <w:r w:rsidRPr="002E14C3">
        <w:rPr>
          <w:rFonts w:ascii="Calibri" w:hAnsi="Calibri"/>
          <w:color w:val="000000"/>
        </w:rPr>
        <w:t>siwz</w:t>
      </w:r>
      <w:proofErr w:type="spellEnd"/>
      <w:r w:rsidRPr="002E14C3">
        <w:rPr>
          <w:rFonts w:ascii="Calibri" w:hAnsi="Calibri"/>
          <w:color w:val="000000"/>
        </w:rPr>
        <w:t>.</w:t>
      </w:r>
    </w:p>
    <w:p w:rsidR="001B7D9A" w:rsidRDefault="001B7D9A" w:rsidP="001B7D9A">
      <w:pPr>
        <w:pStyle w:val="s14"/>
        <w:spacing w:before="0" w:beforeAutospacing="0" w:after="180" w:afterAutospacing="0"/>
        <w:jc w:val="both"/>
        <w:rPr>
          <w:rStyle w:val="s13"/>
          <w:rFonts w:ascii="Garamond" w:hAnsi="Garamond"/>
          <w:sz w:val="22"/>
          <w:szCs w:val="22"/>
        </w:rPr>
      </w:pPr>
    </w:p>
    <w:p w:rsidR="001B7D9A" w:rsidRDefault="001B7D9A" w:rsidP="001B7D9A">
      <w:pPr>
        <w:pStyle w:val="s14"/>
        <w:spacing w:before="0" w:beforeAutospacing="0" w:after="180" w:afterAutospacing="0"/>
        <w:jc w:val="both"/>
        <w:rPr>
          <w:rStyle w:val="s13"/>
          <w:rFonts w:ascii="Garamond" w:hAnsi="Garamond"/>
          <w:b/>
          <w:sz w:val="22"/>
          <w:szCs w:val="22"/>
        </w:rPr>
      </w:pPr>
      <w:r>
        <w:rPr>
          <w:rStyle w:val="s13"/>
          <w:rFonts w:ascii="Garamond" w:hAnsi="Garamond"/>
          <w:sz w:val="22"/>
          <w:szCs w:val="22"/>
        </w:rPr>
        <w:t xml:space="preserve">26.Czy w </w:t>
      </w:r>
      <w:r>
        <w:rPr>
          <w:rFonts w:ascii="Garamond" w:hAnsi="Garamond" w:cs="Arial"/>
          <w:sz w:val="22"/>
          <w:szCs w:val="22"/>
        </w:rPr>
        <w:t xml:space="preserve">części </w:t>
      </w:r>
      <w:bookmarkStart w:id="1" w:name="_Hlk494961514"/>
      <w:r>
        <w:rPr>
          <w:rFonts w:ascii="Garamond" w:hAnsi="Garamond" w:cs="Arial"/>
          <w:sz w:val="22"/>
          <w:szCs w:val="22"/>
        </w:rPr>
        <w:t>Nr 5 poz. 213 i 214 (</w:t>
      </w:r>
      <w:proofErr w:type="spellStart"/>
      <w:r>
        <w:rPr>
          <w:rFonts w:ascii="Garamond" w:hAnsi="Garamond" w:cs="Arial"/>
          <w:sz w:val="22"/>
          <w:szCs w:val="22"/>
        </w:rPr>
        <w:t>Pulmicort</w:t>
      </w:r>
      <w:proofErr w:type="spellEnd"/>
      <w:r>
        <w:rPr>
          <w:rFonts w:ascii="Garamond" w:hAnsi="Garamond" w:cs="Arial"/>
          <w:sz w:val="22"/>
          <w:szCs w:val="22"/>
        </w:rPr>
        <w:t xml:space="preserve"> do </w:t>
      </w:r>
      <w:proofErr w:type="spellStart"/>
      <w:r>
        <w:rPr>
          <w:rFonts w:ascii="Garamond" w:hAnsi="Garamond" w:cs="Arial"/>
          <w:sz w:val="22"/>
          <w:szCs w:val="22"/>
        </w:rPr>
        <w:t>neb</w:t>
      </w:r>
      <w:proofErr w:type="spellEnd"/>
      <w:r>
        <w:rPr>
          <w:rFonts w:ascii="Garamond" w:hAnsi="Garamond" w:cs="Arial"/>
          <w:sz w:val="22"/>
          <w:szCs w:val="22"/>
        </w:rPr>
        <w:t xml:space="preserve">. 0,125  i 0,25 mg/1ml x 20 </w:t>
      </w:r>
      <w:proofErr w:type="spellStart"/>
      <w:r>
        <w:rPr>
          <w:rFonts w:ascii="Garamond" w:hAnsi="Garamond" w:cs="Arial"/>
          <w:sz w:val="22"/>
          <w:szCs w:val="22"/>
        </w:rPr>
        <w:t>poj</w:t>
      </w:r>
      <w:proofErr w:type="spellEnd"/>
      <w:r>
        <w:rPr>
          <w:rFonts w:ascii="Garamond" w:hAnsi="Garamond" w:cs="Arial"/>
          <w:sz w:val="22"/>
          <w:szCs w:val="22"/>
        </w:rPr>
        <w:t xml:space="preserve">. a 2 ml) </w:t>
      </w:r>
      <w:bookmarkEnd w:id="1"/>
      <w:r>
        <w:rPr>
          <w:rStyle w:val="s13"/>
          <w:rFonts w:ascii="Garamond" w:hAnsi="Garamond"/>
          <w:b/>
          <w:sz w:val="22"/>
          <w:szCs w:val="22"/>
        </w:rPr>
        <w:t xml:space="preserve">Zamawiający wymaga </w:t>
      </w:r>
      <w:proofErr w:type="spellStart"/>
      <w:r>
        <w:rPr>
          <w:rStyle w:val="s13"/>
          <w:rFonts w:ascii="Garamond" w:hAnsi="Garamond"/>
          <w:b/>
          <w:sz w:val="22"/>
          <w:szCs w:val="22"/>
        </w:rPr>
        <w:t>produktu,po</w:t>
      </w:r>
      <w:proofErr w:type="spellEnd"/>
      <w:r>
        <w:rPr>
          <w:rStyle w:val="s13"/>
          <w:rFonts w:ascii="Garamond" w:hAnsi="Garamond"/>
          <w:b/>
          <w:sz w:val="22"/>
          <w:szCs w:val="22"/>
        </w:rPr>
        <w:t xml:space="preserve"> którego zastosowaniu poprawa stanu klinicznego może nastąpić już w ciągu kilku godzin od rozpoczęcia leczenia?</w:t>
      </w:r>
    </w:p>
    <w:p w:rsidR="001B7D9A" w:rsidRPr="00B966AD" w:rsidRDefault="001B7D9A" w:rsidP="001B7D9A">
      <w:pPr>
        <w:pStyle w:val="s14"/>
        <w:spacing w:before="0" w:beforeAutospacing="0" w:after="180" w:afterAutospacing="0"/>
        <w:jc w:val="both"/>
        <w:rPr>
          <w:rFonts w:ascii="Garamond" w:hAnsi="Garamond"/>
          <w:sz w:val="22"/>
          <w:szCs w:val="22"/>
        </w:rPr>
      </w:pPr>
      <w:r w:rsidRPr="00B966AD">
        <w:rPr>
          <w:rStyle w:val="s13"/>
          <w:rFonts w:ascii="Garamond" w:hAnsi="Garamond"/>
          <w:sz w:val="22"/>
          <w:szCs w:val="22"/>
        </w:rPr>
        <w:t xml:space="preserve">Odp.: </w:t>
      </w:r>
      <w:r w:rsidR="00B966AD" w:rsidRPr="00B966AD">
        <w:rPr>
          <w:rStyle w:val="s13"/>
          <w:rFonts w:ascii="Garamond" w:hAnsi="Garamond"/>
          <w:sz w:val="22"/>
          <w:szCs w:val="22"/>
        </w:rPr>
        <w:t xml:space="preserve">Zgodnie z </w:t>
      </w:r>
      <w:proofErr w:type="spellStart"/>
      <w:r w:rsidR="00B966AD" w:rsidRPr="00B966AD">
        <w:rPr>
          <w:rStyle w:val="s13"/>
          <w:rFonts w:ascii="Garamond" w:hAnsi="Garamond"/>
          <w:sz w:val="22"/>
          <w:szCs w:val="22"/>
        </w:rPr>
        <w:t>siwz</w:t>
      </w:r>
      <w:proofErr w:type="spellEnd"/>
      <w:r w:rsidR="00B966AD" w:rsidRPr="00B966AD">
        <w:rPr>
          <w:rStyle w:val="s13"/>
          <w:rFonts w:ascii="Garamond" w:hAnsi="Garamond"/>
          <w:sz w:val="22"/>
          <w:szCs w:val="22"/>
        </w:rPr>
        <w:t xml:space="preserve">, </w:t>
      </w:r>
      <w:r w:rsidRPr="00B966AD">
        <w:rPr>
          <w:rStyle w:val="s13"/>
          <w:rFonts w:ascii="Garamond" w:hAnsi="Garamond"/>
          <w:sz w:val="22"/>
          <w:szCs w:val="22"/>
        </w:rPr>
        <w:t xml:space="preserve">Zamawiający </w:t>
      </w:r>
      <w:r w:rsidR="00B966AD" w:rsidRPr="00B966AD">
        <w:rPr>
          <w:rStyle w:val="s13"/>
          <w:rFonts w:ascii="Garamond" w:hAnsi="Garamond"/>
          <w:sz w:val="22"/>
          <w:szCs w:val="22"/>
        </w:rPr>
        <w:t>nie stawia dodatkowych wymagań, dopuszcza zaoferowanie produktu w postaci jak w pytaniu</w:t>
      </w:r>
    </w:p>
    <w:p w:rsidR="001B7D9A" w:rsidRDefault="001B7D9A" w:rsidP="001B7D9A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27. Czy Zamawiający</w:t>
      </w:r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części</w:t>
      </w:r>
      <w:r>
        <w:rPr>
          <w:rFonts w:ascii="Garamond" w:hAnsi="Garamond" w:cs="Arial"/>
          <w:sz w:val="22"/>
          <w:szCs w:val="22"/>
        </w:rPr>
        <w:t>Nr</w:t>
      </w:r>
      <w:proofErr w:type="spellEnd"/>
      <w:r>
        <w:rPr>
          <w:rFonts w:ascii="Garamond" w:hAnsi="Garamond" w:cs="Arial"/>
          <w:sz w:val="22"/>
          <w:szCs w:val="22"/>
        </w:rPr>
        <w:t xml:space="preserve"> 5 poz. 213 i 214 (</w:t>
      </w:r>
      <w:proofErr w:type="spellStart"/>
      <w:r>
        <w:rPr>
          <w:rFonts w:ascii="Garamond" w:hAnsi="Garamond" w:cs="Arial"/>
          <w:sz w:val="22"/>
          <w:szCs w:val="22"/>
        </w:rPr>
        <w:t>Pulmicort</w:t>
      </w:r>
      <w:proofErr w:type="spellEnd"/>
      <w:r>
        <w:rPr>
          <w:rFonts w:ascii="Garamond" w:hAnsi="Garamond" w:cs="Arial"/>
          <w:sz w:val="22"/>
          <w:szCs w:val="22"/>
        </w:rPr>
        <w:t xml:space="preserve"> do </w:t>
      </w:r>
      <w:proofErr w:type="spellStart"/>
      <w:r>
        <w:rPr>
          <w:rFonts w:ascii="Garamond" w:hAnsi="Garamond" w:cs="Arial"/>
          <w:sz w:val="22"/>
          <w:szCs w:val="22"/>
        </w:rPr>
        <w:t>neb</w:t>
      </w:r>
      <w:proofErr w:type="spellEnd"/>
      <w:r>
        <w:rPr>
          <w:rFonts w:ascii="Garamond" w:hAnsi="Garamond" w:cs="Arial"/>
          <w:sz w:val="22"/>
          <w:szCs w:val="22"/>
        </w:rPr>
        <w:t xml:space="preserve">. 0,125  i 0,25 mg/1ml x 20 </w:t>
      </w:r>
      <w:proofErr w:type="spellStart"/>
      <w:r>
        <w:rPr>
          <w:rFonts w:ascii="Garamond" w:hAnsi="Garamond" w:cs="Arial"/>
          <w:sz w:val="22"/>
          <w:szCs w:val="22"/>
        </w:rPr>
        <w:t>poj</w:t>
      </w:r>
      <w:proofErr w:type="spellEnd"/>
      <w:r>
        <w:rPr>
          <w:rFonts w:ascii="Garamond" w:hAnsi="Garamond" w:cs="Arial"/>
          <w:sz w:val="22"/>
          <w:szCs w:val="22"/>
        </w:rPr>
        <w:t xml:space="preserve">. a 2 ml) </w:t>
      </w:r>
      <w:r>
        <w:rPr>
          <w:rFonts w:ascii="Garamond" w:hAnsi="Garamond"/>
          <w:b/>
          <w:sz w:val="22"/>
          <w:szCs w:val="22"/>
        </w:rPr>
        <w:t xml:space="preserve">wyraża zgodę na wycenę leku, którego zawartości po otwarciu pojemnika nie można, </w:t>
      </w:r>
      <w:bookmarkStart w:id="2" w:name="_Hlk506290520"/>
      <w:r>
        <w:rPr>
          <w:rFonts w:ascii="Garamond" w:hAnsi="Garamond"/>
          <w:b/>
          <w:sz w:val="22"/>
          <w:szCs w:val="22"/>
        </w:rPr>
        <w:t xml:space="preserve">zgodnie z obowiązującą Charakterystyką Produktu Leczniczego, </w:t>
      </w:r>
      <w:bookmarkEnd w:id="2"/>
      <w:r>
        <w:rPr>
          <w:rFonts w:ascii="Garamond" w:hAnsi="Garamond"/>
          <w:b/>
          <w:sz w:val="22"/>
          <w:szCs w:val="22"/>
        </w:rPr>
        <w:t>przechowywać do 12 godzin?</w:t>
      </w:r>
    </w:p>
    <w:p w:rsidR="001B7D9A" w:rsidRDefault="001B7D9A" w:rsidP="001B7D9A">
      <w:pPr>
        <w:pStyle w:val="s14"/>
        <w:spacing w:before="0" w:beforeAutospacing="0" w:after="180" w:afterAutospacing="0"/>
        <w:jc w:val="both"/>
        <w:rPr>
          <w:rFonts w:ascii="Garamond" w:hAnsi="Garamond"/>
          <w:b/>
          <w:sz w:val="22"/>
          <w:szCs w:val="22"/>
        </w:rPr>
      </w:pPr>
      <w:r>
        <w:rPr>
          <w:rStyle w:val="s13"/>
          <w:rFonts w:ascii="Garamond" w:hAnsi="Garamond"/>
          <w:b/>
          <w:sz w:val="22"/>
          <w:szCs w:val="22"/>
        </w:rPr>
        <w:t xml:space="preserve">Odp.: </w:t>
      </w:r>
      <w:r w:rsidR="00B966AD" w:rsidRPr="00B966AD">
        <w:rPr>
          <w:rStyle w:val="s13"/>
          <w:rFonts w:ascii="Garamond" w:hAnsi="Garamond"/>
          <w:sz w:val="22"/>
          <w:szCs w:val="22"/>
        </w:rPr>
        <w:t xml:space="preserve">Zgodnie z </w:t>
      </w:r>
      <w:proofErr w:type="spellStart"/>
      <w:r w:rsidR="00B966AD" w:rsidRPr="00B966AD">
        <w:rPr>
          <w:rStyle w:val="s13"/>
          <w:rFonts w:ascii="Garamond" w:hAnsi="Garamond"/>
          <w:sz w:val="22"/>
          <w:szCs w:val="22"/>
        </w:rPr>
        <w:t>siwz</w:t>
      </w:r>
      <w:proofErr w:type="spellEnd"/>
      <w:r w:rsidR="00B966AD" w:rsidRPr="00B966AD">
        <w:rPr>
          <w:rStyle w:val="s13"/>
          <w:rFonts w:ascii="Garamond" w:hAnsi="Garamond"/>
          <w:sz w:val="22"/>
          <w:szCs w:val="22"/>
        </w:rPr>
        <w:t>, Zamawiający nie stawia dodatkowych wymagań, dopuszcza zaoferowanie produktu w postaci jak w pytaniu</w:t>
      </w:r>
    </w:p>
    <w:p w:rsidR="001B7D9A" w:rsidRDefault="001B7D9A" w:rsidP="001B7D9A">
      <w:pPr>
        <w:jc w:val="both"/>
        <w:rPr>
          <w:rFonts w:ascii="Garamond" w:hAnsi="Garamond" w:cs="TimesNewRomanPSMT"/>
          <w:b/>
          <w:sz w:val="22"/>
          <w:szCs w:val="22"/>
        </w:rPr>
      </w:pPr>
    </w:p>
    <w:p w:rsidR="001B7D9A" w:rsidRDefault="001B7D9A" w:rsidP="001B7D9A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28.Czy Zamawiający</w:t>
      </w:r>
      <w:r>
        <w:rPr>
          <w:rFonts w:ascii="Garamond" w:hAnsi="Garamond"/>
          <w:sz w:val="22"/>
          <w:szCs w:val="22"/>
        </w:rPr>
        <w:t xml:space="preserve"> w </w:t>
      </w:r>
      <w:proofErr w:type="spellStart"/>
      <w:r>
        <w:rPr>
          <w:rFonts w:ascii="Garamond" w:hAnsi="Garamond"/>
          <w:sz w:val="22"/>
          <w:szCs w:val="22"/>
        </w:rPr>
        <w:t>części</w:t>
      </w:r>
      <w:r>
        <w:rPr>
          <w:rFonts w:ascii="Garamond" w:hAnsi="Garamond" w:cs="Arial"/>
          <w:sz w:val="22"/>
          <w:szCs w:val="22"/>
        </w:rPr>
        <w:t>Nr</w:t>
      </w:r>
      <w:proofErr w:type="spellEnd"/>
      <w:r>
        <w:rPr>
          <w:rFonts w:ascii="Garamond" w:hAnsi="Garamond" w:cs="Arial"/>
          <w:sz w:val="22"/>
          <w:szCs w:val="22"/>
        </w:rPr>
        <w:t xml:space="preserve"> 5 poz. 213 i 214 (</w:t>
      </w:r>
      <w:proofErr w:type="spellStart"/>
      <w:r>
        <w:rPr>
          <w:rFonts w:ascii="Garamond" w:hAnsi="Garamond" w:cs="Arial"/>
          <w:sz w:val="22"/>
          <w:szCs w:val="22"/>
        </w:rPr>
        <w:t>Pulmicort</w:t>
      </w:r>
      <w:proofErr w:type="spellEnd"/>
      <w:r>
        <w:rPr>
          <w:rFonts w:ascii="Garamond" w:hAnsi="Garamond" w:cs="Arial"/>
          <w:sz w:val="22"/>
          <w:szCs w:val="22"/>
        </w:rPr>
        <w:t xml:space="preserve"> do </w:t>
      </w:r>
      <w:proofErr w:type="spellStart"/>
      <w:r>
        <w:rPr>
          <w:rFonts w:ascii="Garamond" w:hAnsi="Garamond" w:cs="Arial"/>
          <w:sz w:val="22"/>
          <w:szCs w:val="22"/>
        </w:rPr>
        <w:t>neb</w:t>
      </w:r>
      <w:proofErr w:type="spellEnd"/>
      <w:r>
        <w:rPr>
          <w:rFonts w:ascii="Garamond" w:hAnsi="Garamond" w:cs="Arial"/>
          <w:sz w:val="22"/>
          <w:szCs w:val="22"/>
        </w:rPr>
        <w:t xml:space="preserve">. 0,125  i 0,25 mg/1ml x 20 </w:t>
      </w:r>
      <w:proofErr w:type="spellStart"/>
      <w:r>
        <w:rPr>
          <w:rFonts w:ascii="Garamond" w:hAnsi="Garamond" w:cs="Arial"/>
          <w:sz w:val="22"/>
          <w:szCs w:val="22"/>
        </w:rPr>
        <w:t>poj</w:t>
      </w:r>
      <w:proofErr w:type="spellEnd"/>
      <w:r>
        <w:rPr>
          <w:rFonts w:ascii="Garamond" w:hAnsi="Garamond" w:cs="Arial"/>
          <w:sz w:val="22"/>
          <w:szCs w:val="22"/>
        </w:rPr>
        <w:t xml:space="preserve">. a 2 ml) </w:t>
      </w:r>
      <w:r>
        <w:rPr>
          <w:rFonts w:ascii="Garamond" w:hAnsi="Garamond"/>
          <w:b/>
          <w:sz w:val="22"/>
          <w:szCs w:val="22"/>
        </w:rPr>
        <w:t xml:space="preserve">dopuszcza wycenę leku, którego nie można mieszać z </w:t>
      </w:r>
      <w:proofErr w:type="spellStart"/>
      <w:r>
        <w:rPr>
          <w:rFonts w:ascii="Garamond" w:hAnsi="Garamond"/>
          <w:b/>
          <w:sz w:val="22"/>
          <w:szCs w:val="22"/>
        </w:rPr>
        <w:t>Berodualem</w:t>
      </w:r>
      <w:proofErr w:type="spellEnd"/>
      <w:r>
        <w:rPr>
          <w:rFonts w:ascii="Garamond" w:hAnsi="Garamond"/>
          <w:b/>
          <w:sz w:val="22"/>
          <w:szCs w:val="22"/>
        </w:rPr>
        <w:t xml:space="preserve"> ani z </w:t>
      </w:r>
      <w:proofErr w:type="spellStart"/>
      <w:r>
        <w:rPr>
          <w:rFonts w:ascii="Garamond" w:hAnsi="Garamond"/>
          <w:b/>
          <w:sz w:val="22"/>
          <w:szCs w:val="22"/>
        </w:rPr>
        <w:t>acetylocysteiną</w:t>
      </w:r>
      <w:proofErr w:type="spellEnd"/>
      <w:r>
        <w:rPr>
          <w:rFonts w:ascii="Garamond" w:hAnsi="Garamond"/>
          <w:b/>
          <w:sz w:val="22"/>
          <w:szCs w:val="22"/>
        </w:rPr>
        <w:t xml:space="preserve">? </w:t>
      </w:r>
    </w:p>
    <w:p w:rsidR="001B7D9A" w:rsidRDefault="001B7D9A" w:rsidP="001B7D9A">
      <w:pPr>
        <w:pStyle w:val="s14"/>
        <w:spacing w:before="0" w:beforeAutospacing="0" w:after="180" w:afterAutospacing="0"/>
        <w:jc w:val="both"/>
        <w:rPr>
          <w:rFonts w:ascii="Garamond" w:hAnsi="Garamond"/>
          <w:b/>
          <w:sz w:val="22"/>
          <w:szCs w:val="22"/>
        </w:rPr>
      </w:pPr>
      <w:r>
        <w:rPr>
          <w:rStyle w:val="s13"/>
          <w:rFonts w:ascii="Garamond" w:hAnsi="Garamond"/>
          <w:b/>
          <w:sz w:val="22"/>
          <w:szCs w:val="22"/>
        </w:rPr>
        <w:t xml:space="preserve">Odp.: </w:t>
      </w:r>
      <w:r w:rsidR="00B966AD" w:rsidRPr="00B966AD">
        <w:rPr>
          <w:rStyle w:val="s13"/>
          <w:rFonts w:ascii="Garamond" w:hAnsi="Garamond"/>
          <w:sz w:val="22"/>
          <w:szCs w:val="22"/>
        </w:rPr>
        <w:t xml:space="preserve">Zgodnie z </w:t>
      </w:r>
      <w:proofErr w:type="spellStart"/>
      <w:r w:rsidR="00B966AD" w:rsidRPr="00B966AD">
        <w:rPr>
          <w:rStyle w:val="s13"/>
          <w:rFonts w:ascii="Garamond" w:hAnsi="Garamond"/>
          <w:sz w:val="22"/>
          <w:szCs w:val="22"/>
        </w:rPr>
        <w:t>siwz</w:t>
      </w:r>
      <w:proofErr w:type="spellEnd"/>
      <w:r w:rsidR="00B966AD" w:rsidRPr="00B966AD">
        <w:rPr>
          <w:rStyle w:val="s13"/>
          <w:rFonts w:ascii="Garamond" w:hAnsi="Garamond"/>
          <w:sz w:val="22"/>
          <w:szCs w:val="22"/>
        </w:rPr>
        <w:t>, Zamawiający nie stawia dodatkowych wymagań, dopuszcza zaoferowanie produktu w postaci jak w pytaniu</w:t>
      </w:r>
    </w:p>
    <w:p w:rsidR="001B7D9A" w:rsidRDefault="001B7D9A" w:rsidP="001B7D9A">
      <w:pPr>
        <w:pStyle w:val="s14"/>
        <w:spacing w:before="0" w:beforeAutospacing="0" w:after="180" w:afterAutospacing="0"/>
        <w:jc w:val="both"/>
        <w:rPr>
          <w:rStyle w:val="s13"/>
          <w:rFonts w:ascii="Garamond" w:hAnsi="Garamond"/>
          <w:b/>
          <w:sz w:val="22"/>
          <w:szCs w:val="22"/>
        </w:rPr>
      </w:pPr>
      <w:r>
        <w:rPr>
          <w:rStyle w:val="s13"/>
          <w:rFonts w:ascii="Garamond" w:hAnsi="Garamond"/>
          <w:sz w:val="22"/>
          <w:szCs w:val="22"/>
        </w:rPr>
        <w:lastRenderedPageBreak/>
        <w:t xml:space="preserve">29. Czy w </w:t>
      </w:r>
      <w:r>
        <w:rPr>
          <w:rFonts w:ascii="Garamond" w:hAnsi="Garamond" w:cs="Arial"/>
          <w:sz w:val="22"/>
          <w:szCs w:val="22"/>
        </w:rPr>
        <w:t>części Nr 5 poz. 213 i 214 (</w:t>
      </w:r>
      <w:proofErr w:type="spellStart"/>
      <w:r>
        <w:rPr>
          <w:rFonts w:ascii="Garamond" w:hAnsi="Garamond" w:cs="Arial"/>
          <w:sz w:val="22"/>
          <w:szCs w:val="22"/>
        </w:rPr>
        <w:t>Pulmicort</w:t>
      </w:r>
      <w:proofErr w:type="spellEnd"/>
      <w:r>
        <w:rPr>
          <w:rFonts w:ascii="Garamond" w:hAnsi="Garamond" w:cs="Arial"/>
          <w:sz w:val="22"/>
          <w:szCs w:val="22"/>
        </w:rPr>
        <w:t xml:space="preserve"> do </w:t>
      </w:r>
      <w:proofErr w:type="spellStart"/>
      <w:r>
        <w:rPr>
          <w:rFonts w:ascii="Garamond" w:hAnsi="Garamond" w:cs="Arial"/>
          <w:sz w:val="22"/>
          <w:szCs w:val="22"/>
        </w:rPr>
        <w:t>neb</w:t>
      </w:r>
      <w:proofErr w:type="spellEnd"/>
      <w:r>
        <w:rPr>
          <w:rFonts w:ascii="Garamond" w:hAnsi="Garamond" w:cs="Arial"/>
          <w:sz w:val="22"/>
          <w:szCs w:val="22"/>
        </w:rPr>
        <w:t xml:space="preserve">. 0,125  i 0,25 mg/1ml x 20 </w:t>
      </w:r>
      <w:proofErr w:type="spellStart"/>
      <w:r>
        <w:rPr>
          <w:rFonts w:ascii="Garamond" w:hAnsi="Garamond" w:cs="Arial"/>
          <w:sz w:val="22"/>
          <w:szCs w:val="22"/>
        </w:rPr>
        <w:t>poj</w:t>
      </w:r>
      <w:proofErr w:type="spellEnd"/>
      <w:r>
        <w:rPr>
          <w:rFonts w:ascii="Garamond" w:hAnsi="Garamond" w:cs="Arial"/>
          <w:sz w:val="22"/>
          <w:szCs w:val="22"/>
        </w:rPr>
        <w:t xml:space="preserve">. a 2 ml) </w:t>
      </w:r>
      <w:r>
        <w:rPr>
          <w:rStyle w:val="s13"/>
          <w:rFonts w:ascii="Garamond" w:hAnsi="Garamond"/>
          <w:b/>
          <w:sz w:val="22"/>
          <w:szCs w:val="22"/>
        </w:rPr>
        <w:t xml:space="preserve">Zamawiający wymaga, </w:t>
      </w:r>
      <w:r>
        <w:rPr>
          <w:rFonts w:ascii="Garamond" w:hAnsi="Garamond"/>
          <w:b/>
          <w:sz w:val="22"/>
          <w:szCs w:val="22"/>
        </w:rPr>
        <w:t>zgodnie z obowiązującą Charakterystyką Produktu Leczniczego,</w:t>
      </w:r>
      <w:r>
        <w:rPr>
          <w:rStyle w:val="s13"/>
          <w:rFonts w:ascii="Garamond" w:hAnsi="Garamond"/>
          <w:b/>
          <w:sz w:val="22"/>
          <w:szCs w:val="22"/>
        </w:rPr>
        <w:t xml:space="preserve"> leku w postaci </w:t>
      </w:r>
      <w:proofErr w:type="spellStart"/>
      <w:r>
        <w:rPr>
          <w:rStyle w:val="s13"/>
          <w:rFonts w:ascii="Garamond" w:hAnsi="Garamond"/>
          <w:b/>
          <w:sz w:val="22"/>
          <w:szCs w:val="22"/>
        </w:rPr>
        <w:t>budezoniduzmikronizowanego</w:t>
      </w:r>
      <w:proofErr w:type="spellEnd"/>
      <w:r>
        <w:rPr>
          <w:rStyle w:val="s13"/>
          <w:rFonts w:ascii="Garamond" w:hAnsi="Garamond"/>
          <w:b/>
          <w:sz w:val="22"/>
          <w:szCs w:val="22"/>
        </w:rPr>
        <w:t>?</w:t>
      </w:r>
    </w:p>
    <w:p w:rsidR="001B7D9A" w:rsidRDefault="001B7D9A" w:rsidP="001B7D9A">
      <w:pPr>
        <w:pStyle w:val="s14"/>
        <w:spacing w:before="0" w:beforeAutospacing="0" w:after="180" w:afterAutospacing="0"/>
        <w:jc w:val="both"/>
        <w:rPr>
          <w:rFonts w:ascii="Garamond" w:hAnsi="Garamond"/>
          <w:b/>
          <w:sz w:val="22"/>
          <w:szCs w:val="22"/>
        </w:rPr>
      </w:pPr>
      <w:r>
        <w:rPr>
          <w:rStyle w:val="s13"/>
          <w:rFonts w:ascii="Garamond" w:hAnsi="Garamond"/>
          <w:b/>
          <w:sz w:val="22"/>
          <w:szCs w:val="22"/>
        </w:rPr>
        <w:t xml:space="preserve">Odp.: </w:t>
      </w:r>
      <w:r w:rsidR="00B966AD" w:rsidRPr="00B966AD">
        <w:rPr>
          <w:rStyle w:val="s13"/>
          <w:rFonts w:ascii="Garamond" w:hAnsi="Garamond"/>
          <w:sz w:val="22"/>
          <w:szCs w:val="22"/>
        </w:rPr>
        <w:t xml:space="preserve">Zgodnie z </w:t>
      </w:r>
      <w:proofErr w:type="spellStart"/>
      <w:r w:rsidR="00B966AD" w:rsidRPr="00B966AD">
        <w:rPr>
          <w:rStyle w:val="s13"/>
          <w:rFonts w:ascii="Garamond" w:hAnsi="Garamond"/>
          <w:sz w:val="22"/>
          <w:szCs w:val="22"/>
        </w:rPr>
        <w:t>siwz</w:t>
      </w:r>
      <w:proofErr w:type="spellEnd"/>
      <w:r w:rsidR="00B966AD" w:rsidRPr="00B966AD">
        <w:rPr>
          <w:rStyle w:val="s13"/>
          <w:rFonts w:ascii="Garamond" w:hAnsi="Garamond"/>
          <w:sz w:val="22"/>
          <w:szCs w:val="22"/>
        </w:rPr>
        <w:t>, Zamawiający nie stawia dodatkowych wymagań, dopuszcza zaoferowanie produktu w postaci jak w pytaniu</w:t>
      </w:r>
    </w:p>
    <w:p w:rsidR="001B7D9A" w:rsidRDefault="00A01054" w:rsidP="001B7D9A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30. </w:t>
      </w:r>
      <w:r w:rsidR="001B7D9A" w:rsidRPr="009B7638">
        <w:rPr>
          <w:rFonts w:ascii="Garamond" w:hAnsi="Garamond"/>
          <w:sz w:val="22"/>
          <w:szCs w:val="22"/>
        </w:rPr>
        <w:t>Czy Zamawiający w części</w:t>
      </w:r>
      <w:r w:rsidR="001B7D9A">
        <w:rPr>
          <w:rFonts w:ascii="Garamond" w:hAnsi="Garamond"/>
          <w:sz w:val="22"/>
          <w:szCs w:val="22"/>
        </w:rPr>
        <w:t xml:space="preserve"> </w:t>
      </w:r>
      <w:r w:rsidR="001B7D9A">
        <w:rPr>
          <w:rFonts w:ascii="Garamond" w:hAnsi="Garamond" w:cs="Arial"/>
          <w:sz w:val="22"/>
          <w:szCs w:val="22"/>
        </w:rPr>
        <w:t>Nr 5 poz. 213 i 214 (</w:t>
      </w:r>
      <w:proofErr w:type="spellStart"/>
      <w:r w:rsidR="001B7D9A">
        <w:rPr>
          <w:rFonts w:ascii="Garamond" w:hAnsi="Garamond" w:cs="Arial"/>
          <w:sz w:val="22"/>
          <w:szCs w:val="22"/>
        </w:rPr>
        <w:t>Pulmicort</w:t>
      </w:r>
      <w:proofErr w:type="spellEnd"/>
      <w:r w:rsidR="001B7D9A">
        <w:rPr>
          <w:rFonts w:ascii="Garamond" w:hAnsi="Garamond" w:cs="Arial"/>
          <w:sz w:val="22"/>
          <w:szCs w:val="22"/>
        </w:rPr>
        <w:t xml:space="preserve"> do </w:t>
      </w:r>
      <w:proofErr w:type="spellStart"/>
      <w:r w:rsidR="001B7D9A">
        <w:rPr>
          <w:rFonts w:ascii="Garamond" w:hAnsi="Garamond" w:cs="Arial"/>
          <w:sz w:val="22"/>
          <w:szCs w:val="22"/>
        </w:rPr>
        <w:t>neb</w:t>
      </w:r>
      <w:proofErr w:type="spellEnd"/>
      <w:r w:rsidR="001B7D9A">
        <w:rPr>
          <w:rFonts w:ascii="Garamond" w:hAnsi="Garamond" w:cs="Arial"/>
          <w:sz w:val="22"/>
          <w:szCs w:val="22"/>
        </w:rPr>
        <w:t xml:space="preserve">. 0,125  i 0,25 mg/1ml x 20 </w:t>
      </w:r>
      <w:proofErr w:type="spellStart"/>
      <w:r w:rsidR="001B7D9A">
        <w:rPr>
          <w:rFonts w:ascii="Garamond" w:hAnsi="Garamond" w:cs="Arial"/>
          <w:sz w:val="22"/>
          <w:szCs w:val="22"/>
        </w:rPr>
        <w:t>poj</w:t>
      </w:r>
      <w:proofErr w:type="spellEnd"/>
      <w:r w:rsidR="001B7D9A">
        <w:rPr>
          <w:rFonts w:ascii="Garamond" w:hAnsi="Garamond" w:cs="Arial"/>
          <w:sz w:val="22"/>
          <w:szCs w:val="22"/>
        </w:rPr>
        <w:t xml:space="preserve">. a 2 ml) </w:t>
      </w:r>
      <w:r w:rsidR="001B7D9A" w:rsidRPr="009B7638">
        <w:rPr>
          <w:rFonts w:ascii="Garamond" w:hAnsi="Garamond"/>
          <w:b/>
          <w:sz w:val="22"/>
          <w:szCs w:val="22"/>
        </w:rPr>
        <w:t>wymaga, aby leki o tej samej nazwie międzynarodowej (</w:t>
      </w:r>
      <w:proofErr w:type="spellStart"/>
      <w:r w:rsidR="001B7D9A" w:rsidRPr="009B7638">
        <w:rPr>
          <w:rFonts w:ascii="Garamond" w:hAnsi="Garamond"/>
          <w:sz w:val="22"/>
          <w:szCs w:val="22"/>
        </w:rPr>
        <w:t>Budesonidum</w:t>
      </w:r>
      <w:proofErr w:type="spellEnd"/>
      <w:r w:rsidR="001B7D9A" w:rsidRPr="009B7638">
        <w:rPr>
          <w:rFonts w:ascii="Garamond" w:hAnsi="Garamond"/>
          <w:sz w:val="22"/>
          <w:szCs w:val="22"/>
        </w:rPr>
        <w:t xml:space="preserve">) </w:t>
      </w:r>
      <w:r w:rsidR="001B7D9A" w:rsidRPr="009B7638">
        <w:rPr>
          <w:rFonts w:ascii="Garamond" w:hAnsi="Garamond"/>
          <w:b/>
          <w:sz w:val="22"/>
          <w:szCs w:val="22"/>
        </w:rPr>
        <w:t>i drodze podania, lecz w różnych dawkach</w:t>
      </w:r>
      <w:r w:rsidR="001B7D9A" w:rsidRPr="00BE166E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1B7D9A" w:rsidRPr="00BE166E">
        <w:rPr>
          <w:rFonts w:ascii="Garamond" w:hAnsi="Garamond"/>
          <w:b/>
          <w:sz w:val="22"/>
          <w:szCs w:val="22"/>
        </w:rPr>
        <w:t>dawkachpochodziły</w:t>
      </w:r>
      <w:proofErr w:type="spellEnd"/>
      <w:r w:rsidR="001B7D9A" w:rsidRPr="00BE166E">
        <w:rPr>
          <w:rFonts w:ascii="Garamond" w:hAnsi="Garamond"/>
          <w:b/>
          <w:sz w:val="22"/>
          <w:szCs w:val="22"/>
        </w:rPr>
        <w:t xml:space="preserve"> od tego samego producenta ze względu na możliwość łączenia dawek?</w:t>
      </w:r>
    </w:p>
    <w:p w:rsidR="00B966AD" w:rsidRDefault="001B7D9A" w:rsidP="00B966AD">
      <w:pPr>
        <w:pStyle w:val="s14"/>
        <w:spacing w:before="0" w:beforeAutospacing="0" w:after="180" w:afterAutospacing="0"/>
        <w:jc w:val="both"/>
        <w:rPr>
          <w:rStyle w:val="s13"/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Odp.: </w:t>
      </w:r>
      <w:r w:rsidR="00B966AD" w:rsidRPr="00B966AD">
        <w:rPr>
          <w:rStyle w:val="s13"/>
          <w:rFonts w:ascii="Garamond" w:hAnsi="Garamond"/>
          <w:sz w:val="22"/>
          <w:szCs w:val="22"/>
        </w:rPr>
        <w:t xml:space="preserve">Zgodnie z </w:t>
      </w:r>
      <w:proofErr w:type="spellStart"/>
      <w:r w:rsidR="00B966AD" w:rsidRPr="00B966AD">
        <w:rPr>
          <w:rStyle w:val="s13"/>
          <w:rFonts w:ascii="Garamond" w:hAnsi="Garamond"/>
          <w:sz w:val="22"/>
          <w:szCs w:val="22"/>
        </w:rPr>
        <w:t>siwz</w:t>
      </w:r>
      <w:proofErr w:type="spellEnd"/>
      <w:r w:rsidR="00B966AD" w:rsidRPr="00B966AD">
        <w:rPr>
          <w:rStyle w:val="s13"/>
          <w:rFonts w:ascii="Garamond" w:hAnsi="Garamond"/>
          <w:sz w:val="22"/>
          <w:szCs w:val="22"/>
        </w:rPr>
        <w:t>, Zamawiający nie stawia dodatkowych wymagań, dopuszcza zaoferowanie produktu w postaci jak w pytaniu</w:t>
      </w:r>
    </w:p>
    <w:p w:rsidR="00A01054" w:rsidRDefault="00A01054" w:rsidP="00A01054">
      <w:pPr>
        <w:jc w:val="both"/>
      </w:pPr>
      <w:r>
        <w:t>31.Czy zamawiający wyrazi zgodę, na przeliczenia ilości zaokrąglając w górę do pełnych opakowań, celem zaoferowania korzystniejszej oferty cenowej?</w:t>
      </w:r>
    </w:p>
    <w:p w:rsidR="00A01054" w:rsidRDefault="00A01054" w:rsidP="00A01054">
      <w:pPr>
        <w:jc w:val="both"/>
      </w:pPr>
      <w:r>
        <w:t>Odp.: TAK</w:t>
      </w:r>
    </w:p>
    <w:p w:rsidR="00A01054" w:rsidRDefault="00A01054" w:rsidP="00A01054">
      <w:pPr>
        <w:jc w:val="both"/>
      </w:pPr>
      <w:r>
        <w:t>32.Czy zamawiający wyrazi zgodę, na zamianę postaci tabletka na tabletka powlekana, kapsułka, celem zaoferowania korzystniejszej oferty cenowej?</w:t>
      </w:r>
    </w:p>
    <w:p w:rsidR="00A01054" w:rsidRDefault="00A01054" w:rsidP="00A01054">
      <w:pPr>
        <w:jc w:val="both"/>
      </w:pPr>
      <w:r>
        <w:t xml:space="preserve">Odp.: Zgodnie z wymaganiami zamawiającego określonymi w </w:t>
      </w:r>
      <w:proofErr w:type="spellStart"/>
      <w:r>
        <w:t>pkt</w:t>
      </w:r>
      <w:proofErr w:type="spellEnd"/>
      <w:r>
        <w:t xml:space="preserve"> 10.16 </w:t>
      </w:r>
      <w:proofErr w:type="spellStart"/>
      <w:r>
        <w:t>siwz</w:t>
      </w:r>
      <w:proofErr w:type="spellEnd"/>
    </w:p>
    <w:p w:rsidR="00A01054" w:rsidRDefault="00A01054" w:rsidP="00A01054">
      <w:pPr>
        <w:jc w:val="both"/>
      </w:pPr>
      <w:r>
        <w:t>33.Czy zamawiający wyrazi zgodę, na zamianę postaci ampułki na fiolki celem zaoferowania korzystniejszej oferty cenowej?</w:t>
      </w:r>
    </w:p>
    <w:p w:rsidR="00A01054" w:rsidRDefault="00A01054" w:rsidP="00A01054">
      <w:pPr>
        <w:jc w:val="both"/>
      </w:pPr>
      <w:r>
        <w:t xml:space="preserve">Odp.: Zgodnie z wymaganiami zamawiającego określonymi w </w:t>
      </w:r>
      <w:proofErr w:type="spellStart"/>
      <w:r>
        <w:t>pkt</w:t>
      </w:r>
      <w:proofErr w:type="spellEnd"/>
      <w:r>
        <w:t xml:space="preserve"> 10.16 </w:t>
      </w:r>
      <w:proofErr w:type="spellStart"/>
      <w:r>
        <w:t>siwz</w:t>
      </w:r>
      <w:proofErr w:type="spellEnd"/>
    </w:p>
    <w:p w:rsidR="00A01054" w:rsidRDefault="00A01054" w:rsidP="00A01054">
      <w:pPr>
        <w:jc w:val="both"/>
      </w:pPr>
      <w:r>
        <w:t>34. Czy zamawiający wyrazi zgodę, na wydzielenie osobnego pakietu na pozycję 10,47,48,75,80 z pakietu nr.6 z uwagi na ograniczoną dostępność produktów?</w:t>
      </w:r>
    </w:p>
    <w:p w:rsidR="00A01054" w:rsidRDefault="00A01054" w:rsidP="00A01054">
      <w:pPr>
        <w:jc w:val="both"/>
      </w:pPr>
      <w:r>
        <w:t>Odp.: Zamawiający nie wyraża zgody</w:t>
      </w:r>
    </w:p>
    <w:p w:rsidR="00A01054" w:rsidRDefault="00A01054" w:rsidP="00A01054">
      <w:pPr>
        <w:jc w:val="both"/>
      </w:pPr>
      <w:r>
        <w:t>35. Czy zamawiający wyrazi zgodę, na zaoferowanie w pakiecie nr.6 w pozycji 62 preparatu w opakowaniu x5amp ale który musi być przechowywany w lodówce?</w:t>
      </w:r>
    </w:p>
    <w:p w:rsidR="00A01054" w:rsidRDefault="00A01054" w:rsidP="00A01054">
      <w:pPr>
        <w:jc w:val="both"/>
      </w:pPr>
      <w:r>
        <w:t>Odp.: Zamawiający wyraża zgodę</w:t>
      </w:r>
    </w:p>
    <w:p w:rsidR="00A01054" w:rsidRDefault="00A01054" w:rsidP="00A010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ms Rmn" w:eastAsia="Calibri" w:hAnsi="Tms Rmn" w:cs="Tms Rmn"/>
          <w:color w:val="000000"/>
        </w:rPr>
      </w:pPr>
    </w:p>
    <w:p w:rsidR="00A01054" w:rsidRDefault="00A01054" w:rsidP="00B966AD">
      <w:pPr>
        <w:pStyle w:val="s14"/>
        <w:spacing w:before="0" w:beforeAutospacing="0" w:after="180" w:afterAutospacing="0"/>
        <w:jc w:val="both"/>
        <w:rPr>
          <w:rFonts w:ascii="Garamond" w:hAnsi="Garamond"/>
          <w:b/>
          <w:sz w:val="22"/>
          <w:szCs w:val="22"/>
        </w:rPr>
      </w:pPr>
    </w:p>
    <w:p w:rsidR="00B966AD" w:rsidRDefault="00B966AD" w:rsidP="001B7D9A">
      <w:pPr>
        <w:ind w:left="4320" w:firstLine="720"/>
        <w:jc w:val="both"/>
        <w:rPr>
          <w:rFonts w:ascii="Garamond" w:hAnsi="Garamond" w:cs="Arial"/>
          <w:sz w:val="22"/>
        </w:rPr>
      </w:pPr>
    </w:p>
    <w:p w:rsidR="00B966AD" w:rsidRDefault="00B966AD" w:rsidP="00B966AD">
      <w:pPr>
        <w:ind w:firstLine="708"/>
        <w:rPr>
          <w:rFonts w:cs="Tahoma"/>
          <w:bCs/>
        </w:rPr>
      </w:pPr>
      <w:r>
        <w:rPr>
          <w:rFonts w:cs="Tahoma"/>
          <w:bCs/>
        </w:rPr>
        <w:t xml:space="preserve">Na podstawie art. 38 ust. 4 ustawy z dnia 29.01.2004r. Prawo zamówień publicznych Zamawiający Samodzielny Publiczny Zakład Opieki Zdrowotnej w Lubaczowie </w:t>
      </w:r>
      <w:r w:rsidRPr="001A7126">
        <w:rPr>
          <w:rFonts w:cs="Tahoma"/>
          <w:b/>
          <w:bCs/>
        </w:rPr>
        <w:t xml:space="preserve">modyfikuje </w:t>
      </w:r>
      <w:r>
        <w:rPr>
          <w:rFonts w:cs="Tahoma"/>
          <w:bCs/>
        </w:rPr>
        <w:t>treść SIWZ w ten sposób, że:</w:t>
      </w:r>
    </w:p>
    <w:p w:rsidR="00B966AD" w:rsidRDefault="00B966AD" w:rsidP="00B966AD">
      <w:pPr>
        <w:rPr>
          <w:rFonts w:cs="Tahoma"/>
          <w:bCs/>
        </w:rPr>
      </w:pPr>
      <w:r>
        <w:rPr>
          <w:rFonts w:cs="Tahoma"/>
          <w:bCs/>
        </w:rPr>
        <w:t xml:space="preserve">- w załączniku nr 4 do </w:t>
      </w:r>
      <w:proofErr w:type="spellStart"/>
      <w:r>
        <w:rPr>
          <w:rFonts w:cs="Tahoma"/>
          <w:bCs/>
        </w:rPr>
        <w:t>siwz</w:t>
      </w:r>
      <w:proofErr w:type="spellEnd"/>
      <w:r>
        <w:rPr>
          <w:rFonts w:cs="Tahoma"/>
          <w:bCs/>
        </w:rPr>
        <w:t xml:space="preserve">- Umowa wzór w artykule 2 w </w:t>
      </w:r>
      <w:proofErr w:type="spellStart"/>
      <w:r>
        <w:rPr>
          <w:rFonts w:cs="Tahoma"/>
          <w:bCs/>
        </w:rPr>
        <w:t>pkt</w:t>
      </w:r>
      <w:proofErr w:type="spellEnd"/>
      <w:r>
        <w:rPr>
          <w:rFonts w:cs="Tahoma"/>
          <w:bCs/>
        </w:rPr>
        <w:t xml:space="preserve"> 2 skreśla się zdanie w brzmieniu: „ Dopuszcza się potwierdzenie faksem zamówień składanych telefonicznie”.</w:t>
      </w:r>
    </w:p>
    <w:p w:rsidR="00733D76" w:rsidRDefault="00733D76" w:rsidP="001B7D9A">
      <w:pPr>
        <w:ind w:left="4320" w:firstLine="720"/>
        <w:jc w:val="both"/>
        <w:rPr>
          <w:rFonts w:ascii="Garamond" w:hAnsi="Garamond" w:cs="Arial"/>
          <w:sz w:val="22"/>
        </w:rPr>
      </w:pPr>
    </w:p>
    <w:p w:rsidR="00733D76" w:rsidRDefault="00733D76" w:rsidP="001B7D9A">
      <w:pPr>
        <w:ind w:left="4320" w:firstLine="720"/>
        <w:jc w:val="both"/>
        <w:rPr>
          <w:rFonts w:ascii="Garamond" w:hAnsi="Garamond" w:cs="Arial"/>
          <w:sz w:val="22"/>
        </w:rPr>
      </w:pPr>
    </w:p>
    <w:p w:rsidR="00B966AD" w:rsidRPr="005721AF" w:rsidRDefault="00733D76" w:rsidP="00733D76">
      <w:pPr>
        <w:ind w:left="4320" w:firstLine="720"/>
        <w:jc w:val="right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Zamawiający</w:t>
      </w:r>
    </w:p>
    <w:sectPr w:rsidR="00B966AD" w:rsidRPr="005721AF" w:rsidSect="00CC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</w:lvl>
  </w:abstractNum>
  <w:abstractNum w:abstractNumId="2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E78F9"/>
    <w:multiLevelType w:val="hybridMultilevel"/>
    <w:tmpl w:val="2B2CB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B6D43"/>
    <w:multiLevelType w:val="multilevel"/>
    <w:tmpl w:val="F3AE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21381"/>
    <w:multiLevelType w:val="hybridMultilevel"/>
    <w:tmpl w:val="5ACE2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A03F5"/>
    <w:multiLevelType w:val="multilevel"/>
    <w:tmpl w:val="181E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56964"/>
    <w:multiLevelType w:val="hybridMultilevel"/>
    <w:tmpl w:val="B9E89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F21BD"/>
    <w:multiLevelType w:val="hybridMultilevel"/>
    <w:tmpl w:val="CD82A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11F1A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</w:lvl>
  </w:abstractNum>
  <w:abstractNum w:abstractNumId="10">
    <w:nsid w:val="44D43B8B"/>
    <w:multiLevelType w:val="hybridMultilevel"/>
    <w:tmpl w:val="4504F6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70ADA"/>
    <w:multiLevelType w:val="hybridMultilevel"/>
    <w:tmpl w:val="6578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F414F"/>
    <w:multiLevelType w:val="hybridMultilevel"/>
    <w:tmpl w:val="54907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F4333"/>
    <w:multiLevelType w:val="hybridMultilevel"/>
    <w:tmpl w:val="68027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65EFF"/>
    <w:multiLevelType w:val="hybridMultilevel"/>
    <w:tmpl w:val="5F247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069C0"/>
    <w:multiLevelType w:val="hybridMultilevel"/>
    <w:tmpl w:val="B1E4236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D1B7C"/>
    <w:multiLevelType w:val="hybridMultilevel"/>
    <w:tmpl w:val="17D6B8C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B6D1E"/>
    <w:multiLevelType w:val="hybridMultilevel"/>
    <w:tmpl w:val="AA68F9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E2744"/>
    <w:multiLevelType w:val="hybridMultilevel"/>
    <w:tmpl w:val="5B8ED2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5649D"/>
    <w:multiLevelType w:val="hybridMultilevel"/>
    <w:tmpl w:val="C2FCD5C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15"/>
  </w:num>
  <w:num w:numId="10">
    <w:abstractNumId w:val="13"/>
  </w:num>
  <w:num w:numId="11">
    <w:abstractNumId w:val="10"/>
  </w:num>
  <w:num w:numId="12">
    <w:abstractNumId w:val="2"/>
  </w:num>
  <w:num w:numId="13">
    <w:abstractNumId w:val="8"/>
  </w:num>
  <w:num w:numId="14">
    <w:abstractNumId w:val="14"/>
  </w:num>
  <w:num w:numId="15">
    <w:abstractNumId w:val="6"/>
  </w:num>
  <w:num w:numId="16">
    <w:abstractNumId w:val="19"/>
  </w:num>
  <w:num w:numId="17">
    <w:abstractNumId w:val="18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4F6"/>
    <w:rsid w:val="00011F06"/>
    <w:rsid w:val="0002696A"/>
    <w:rsid w:val="00083479"/>
    <w:rsid w:val="000E765E"/>
    <w:rsid w:val="000F080F"/>
    <w:rsid w:val="000F74C9"/>
    <w:rsid w:val="00100F41"/>
    <w:rsid w:val="001261DE"/>
    <w:rsid w:val="0014278F"/>
    <w:rsid w:val="001524BD"/>
    <w:rsid w:val="001A7126"/>
    <w:rsid w:val="001B7D9A"/>
    <w:rsid w:val="001C7374"/>
    <w:rsid w:val="001D6E5C"/>
    <w:rsid w:val="001E1B2F"/>
    <w:rsid w:val="00247E34"/>
    <w:rsid w:val="00260272"/>
    <w:rsid w:val="00266ACB"/>
    <w:rsid w:val="00281C5C"/>
    <w:rsid w:val="002845C6"/>
    <w:rsid w:val="00294B53"/>
    <w:rsid w:val="002A3C0F"/>
    <w:rsid w:val="002B3867"/>
    <w:rsid w:val="002E14C3"/>
    <w:rsid w:val="002E3192"/>
    <w:rsid w:val="002E5834"/>
    <w:rsid w:val="00320B53"/>
    <w:rsid w:val="0035623D"/>
    <w:rsid w:val="00385A9E"/>
    <w:rsid w:val="00392A14"/>
    <w:rsid w:val="00393963"/>
    <w:rsid w:val="003B6121"/>
    <w:rsid w:val="003D03A7"/>
    <w:rsid w:val="003D20BE"/>
    <w:rsid w:val="003D6AC2"/>
    <w:rsid w:val="0042579C"/>
    <w:rsid w:val="00434921"/>
    <w:rsid w:val="004835D5"/>
    <w:rsid w:val="00496FDE"/>
    <w:rsid w:val="004A1B06"/>
    <w:rsid w:val="004A3584"/>
    <w:rsid w:val="005027FE"/>
    <w:rsid w:val="00540F10"/>
    <w:rsid w:val="005B3309"/>
    <w:rsid w:val="005C7302"/>
    <w:rsid w:val="005D1FB7"/>
    <w:rsid w:val="005D587E"/>
    <w:rsid w:val="005F5E5C"/>
    <w:rsid w:val="006164F6"/>
    <w:rsid w:val="0062443C"/>
    <w:rsid w:val="006A4E25"/>
    <w:rsid w:val="006C584A"/>
    <w:rsid w:val="006F25FD"/>
    <w:rsid w:val="0072167C"/>
    <w:rsid w:val="00724584"/>
    <w:rsid w:val="00724B18"/>
    <w:rsid w:val="00733D76"/>
    <w:rsid w:val="00794DB4"/>
    <w:rsid w:val="007B0C1A"/>
    <w:rsid w:val="008A0EAF"/>
    <w:rsid w:val="008D5F29"/>
    <w:rsid w:val="008F336D"/>
    <w:rsid w:val="00905357"/>
    <w:rsid w:val="009332C5"/>
    <w:rsid w:val="00993DBB"/>
    <w:rsid w:val="009D69A8"/>
    <w:rsid w:val="009F14E7"/>
    <w:rsid w:val="00A01054"/>
    <w:rsid w:val="00A41777"/>
    <w:rsid w:val="00A655C1"/>
    <w:rsid w:val="00A86568"/>
    <w:rsid w:val="00AC5863"/>
    <w:rsid w:val="00AD6197"/>
    <w:rsid w:val="00B172E2"/>
    <w:rsid w:val="00B86C23"/>
    <w:rsid w:val="00B966AD"/>
    <w:rsid w:val="00BE68A6"/>
    <w:rsid w:val="00C21F26"/>
    <w:rsid w:val="00C604EC"/>
    <w:rsid w:val="00C81FD2"/>
    <w:rsid w:val="00C86882"/>
    <w:rsid w:val="00C97FBF"/>
    <w:rsid w:val="00CC1A35"/>
    <w:rsid w:val="00CD2F60"/>
    <w:rsid w:val="00D02C13"/>
    <w:rsid w:val="00D21D8E"/>
    <w:rsid w:val="00D40648"/>
    <w:rsid w:val="00D536F4"/>
    <w:rsid w:val="00D934A9"/>
    <w:rsid w:val="00DC7A31"/>
    <w:rsid w:val="00DF541A"/>
    <w:rsid w:val="00E14700"/>
    <w:rsid w:val="00E561B4"/>
    <w:rsid w:val="00E57ED3"/>
    <w:rsid w:val="00E7200B"/>
    <w:rsid w:val="00ED36D7"/>
    <w:rsid w:val="00F14E3B"/>
    <w:rsid w:val="00F46432"/>
    <w:rsid w:val="00F74693"/>
    <w:rsid w:val="00F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164F6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6164F6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6164F6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616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6164F6"/>
    <w:pPr>
      <w:ind w:left="720"/>
      <w:contextualSpacing/>
    </w:pPr>
  </w:style>
  <w:style w:type="paragraph" w:customStyle="1" w:styleId="s14">
    <w:name w:val="s14"/>
    <w:basedOn w:val="Normalny"/>
    <w:rsid w:val="00DF541A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s13">
    <w:name w:val="s13"/>
    <w:basedOn w:val="Domylnaczcionkaakapitu"/>
    <w:rsid w:val="00DF541A"/>
  </w:style>
  <w:style w:type="character" w:customStyle="1" w:styleId="apple-converted-space">
    <w:name w:val="apple-converted-space"/>
    <w:basedOn w:val="Domylnaczcionkaakapitu"/>
    <w:rsid w:val="009332C5"/>
  </w:style>
  <w:style w:type="paragraph" w:customStyle="1" w:styleId="WW-Zwykytekst">
    <w:name w:val="WW-Zwykły tekst"/>
    <w:basedOn w:val="Normalny"/>
    <w:rsid w:val="003D6AC2"/>
    <w:rPr>
      <w:rFonts w:ascii="Courier New" w:hAnsi="Courier New"/>
    </w:rPr>
  </w:style>
  <w:style w:type="character" w:customStyle="1" w:styleId="moz-txt-tag">
    <w:name w:val="moz-txt-tag"/>
    <w:rsid w:val="003D03A7"/>
  </w:style>
  <w:style w:type="paragraph" w:styleId="Lista2">
    <w:name w:val="List 2"/>
    <w:basedOn w:val="Normalny"/>
    <w:uiPriority w:val="99"/>
    <w:semiHidden/>
    <w:unhideWhenUsed/>
    <w:rsid w:val="005D587E"/>
    <w:pPr>
      <w:widowControl w:val="0"/>
      <w:ind w:left="566" w:hanging="283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Bezodstpw">
    <w:name w:val="No Spacing"/>
    <w:basedOn w:val="Normalny"/>
    <w:uiPriority w:val="1"/>
    <w:qFormat/>
    <w:rsid w:val="00266AC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260272"/>
    <w:pPr>
      <w:suppressAutoHyphens w:val="0"/>
      <w:spacing w:after="120" w:line="480" w:lineRule="auto"/>
    </w:pPr>
    <w:rPr>
      <w:rFonts w:ascii="Trebuchet MS" w:hAnsi="Trebuchet MS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0272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8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242B-B546-4F34-B948-16E66629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2018-10-03T09:36:00Z</cp:lastPrinted>
  <dcterms:created xsi:type="dcterms:W3CDTF">2018-10-03T09:55:00Z</dcterms:created>
  <dcterms:modified xsi:type="dcterms:W3CDTF">2018-10-03T09:55:00Z</dcterms:modified>
</cp:coreProperties>
</file>