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E" w:rsidRPr="00F56548" w:rsidRDefault="0023270E" w:rsidP="0023270E">
      <w:pPr>
        <w:jc w:val="right"/>
        <w:rPr>
          <w:b/>
          <w:i/>
        </w:rPr>
      </w:pPr>
      <w:r w:rsidRPr="00F56548">
        <w:rPr>
          <w:b/>
          <w:i/>
        </w:rPr>
        <w:t>Załącznik</w:t>
      </w:r>
      <w:r w:rsidR="00393822">
        <w:rPr>
          <w:b/>
          <w:i/>
        </w:rPr>
        <w:t xml:space="preserve"> nr 3 </w:t>
      </w:r>
      <w:r w:rsidRPr="00F56548">
        <w:rPr>
          <w:b/>
          <w:i/>
        </w:rPr>
        <w:t xml:space="preserve"> do </w:t>
      </w:r>
      <w:r>
        <w:rPr>
          <w:b/>
          <w:i/>
        </w:rPr>
        <w:t>ogłoszenia</w:t>
      </w:r>
    </w:p>
    <w:p w:rsidR="00440814" w:rsidRDefault="00440814" w:rsidP="00440814">
      <w:pPr>
        <w:jc w:val="center"/>
        <w:rPr>
          <w:rFonts w:eastAsia="Calibri"/>
          <w:b/>
        </w:rPr>
      </w:pPr>
    </w:p>
    <w:p w:rsidR="00440814" w:rsidRDefault="00440814" w:rsidP="00440814">
      <w:pPr>
        <w:jc w:val="center"/>
        <w:rPr>
          <w:rFonts w:eastAsia="Calibri"/>
          <w:b/>
        </w:rPr>
      </w:pPr>
    </w:p>
    <w:p w:rsidR="00440814" w:rsidRDefault="00440814" w:rsidP="00440814">
      <w:pPr>
        <w:spacing w:before="120"/>
        <w:ind w:left="357"/>
        <w:rPr>
          <w:b/>
        </w:rPr>
      </w:pPr>
      <w:r>
        <w:rPr>
          <w:b/>
        </w:rPr>
        <w:t>ZESTAWIENIE PARAMETRÓW I WARUNKÓW WYMAGANYCH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554"/>
        <w:gridCol w:w="1632"/>
        <w:gridCol w:w="1476"/>
      </w:tblGrid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</w:rPr>
              <w:t>Parametry/warunek minimalny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 w:rsidP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Wartość wymagana (graniczna)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 w:rsidP="009E3D3E">
            <w:pPr>
              <w:suppressAutoHyphens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oferowana</w:t>
            </w: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lang w:eastAsia="ar-SA"/>
              </w:rPr>
            </w:pPr>
            <w: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lang w:eastAsia="ar-SA"/>
              </w:rPr>
            </w:pPr>
            <w:proofErr w:type="spellStart"/>
            <w:r>
              <w:t>Glukometr</w:t>
            </w:r>
            <w:proofErr w:type="spellEnd"/>
            <w:r>
              <w:t xml:space="preserve"> przeznaczony do pomiaru glukozy w świeżo pobranej próbce krwi z naczyń włosowatych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</w:pPr>
            <w:r>
              <w:t xml:space="preserve">Paski do </w:t>
            </w:r>
            <w:proofErr w:type="spellStart"/>
            <w:r>
              <w:t>glukometru</w:t>
            </w:r>
            <w:proofErr w:type="spellEnd"/>
            <w:r>
              <w:t xml:space="preserve"> automatycznie zasysające krew do punktu pomiarowego tak, aby podczas nakładania krwi na pasek nie dochodziło do zabrudzenia gleukometru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</w:pPr>
            <w:r>
              <w:t xml:space="preserve">Termin ważności pasków po 1-szym otwarciu fiolki minimum 90 dni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TAK/Podać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F1539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9" w:rsidRDefault="00DF1539">
            <w:pPr>
              <w:suppressAutoHyphens/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9" w:rsidRDefault="00DF1539">
            <w:pPr>
              <w:suppressAutoHyphens/>
              <w:spacing w:before="120"/>
            </w:pPr>
            <w:r>
              <w:t xml:space="preserve">Paski dostarczone z datą ważności nie krótszą niż 6 </w:t>
            </w:r>
            <w:proofErr w:type="spellStart"/>
            <w:r>
              <w:t>m-cy</w:t>
            </w:r>
            <w:proofErr w:type="spellEnd"/>
            <w:r>
              <w:t xml:space="preserve"> od daty dostawy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9" w:rsidRDefault="00DF1539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TAK/Podać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9" w:rsidRDefault="00DF1539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pacing w:before="120"/>
              <w:rPr>
                <w:lang w:eastAsia="ar-SA"/>
              </w:rPr>
            </w:pPr>
            <w:proofErr w:type="spellStart"/>
            <w:r>
              <w:t>Glukometr</w:t>
            </w:r>
            <w:proofErr w:type="spellEnd"/>
            <w:r>
              <w:t xml:space="preserve"> współpracujący z oferowanymi paskami, spełniający następujące parametry:</w:t>
            </w:r>
          </w:p>
          <w:p w:rsidR="009E3D3E" w:rsidRDefault="009E3D3E">
            <w:pPr>
              <w:spacing w:before="120"/>
            </w:pPr>
            <w:r>
              <w:t>- przedział wyników wiarygodnych 20 mg%- 600 mg%</w:t>
            </w:r>
          </w:p>
          <w:p w:rsidR="009E3D3E" w:rsidRDefault="009E3D3E">
            <w:pPr>
              <w:spacing w:before="120"/>
            </w:pPr>
            <w:r>
              <w:t>- eliminacja wpływu hematokrytu</w:t>
            </w:r>
          </w:p>
          <w:p w:rsidR="009E3D3E" w:rsidRDefault="009E3D3E">
            <w:pPr>
              <w:spacing w:before="120"/>
            </w:pPr>
            <w:r>
              <w:t xml:space="preserve">- brak wpływu substancji interferujących- najczęściej spotykanych- Paracetamol, Witamina C, </w:t>
            </w:r>
            <w:proofErr w:type="spellStart"/>
            <w:r>
              <w:t>Metformina</w:t>
            </w:r>
            <w:proofErr w:type="spellEnd"/>
            <w:r>
              <w:t xml:space="preserve">, </w:t>
            </w:r>
            <w:proofErr w:type="spellStart"/>
            <w:r>
              <w:t>Ibuprofen</w:t>
            </w:r>
            <w:proofErr w:type="spellEnd"/>
            <w:r>
              <w:t>, Kofeina</w:t>
            </w:r>
          </w:p>
          <w:p w:rsidR="009E3D3E" w:rsidRDefault="009E3D3E">
            <w:pPr>
              <w:spacing w:before="120"/>
            </w:pPr>
            <w:r>
              <w:t>- brak wpływu innych cukrów prostych (maltozy i galaktozy) na wynik pomiaru</w:t>
            </w:r>
          </w:p>
          <w:p w:rsidR="009E3D3E" w:rsidRDefault="009E3D3E">
            <w:pPr>
              <w:spacing w:before="120"/>
            </w:pPr>
            <w:r>
              <w:t>- krótki czas pomiaru do 10 sekund</w:t>
            </w:r>
          </w:p>
          <w:p w:rsidR="009E3D3E" w:rsidRDefault="009E3D3E">
            <w:pPr>
              <w:spacing w:before="120"/>
            </w:pPr>
            <w:r>
              <w:t>- objętość pobieranej krwi do badania do 3 mcl</w:t>
            </w:r>
          </w:p>
          <w:p w:rsidR="009E3D3E" w:rsidRDefault="009E3D3E">
            <w:pPr>
              <w:spacing w:before="120"/>
            </w:pPr>
            <w:r>
              <w:t>- wynik wyrażony w mg%</w:t>
            </w:r>
          </w:p>
          <w:p w:rsidR="009E3D3E" w:rsidRDefault="009E3D3E">
            <w:pPr>
              <w:spacing w:before="120"/>
            </w:pPr>
            <w:r>
              <w:t>- możliwość kalibracji płynem kontrolnym</w:t>
            </w:r>
          </w:p>
          <w:p w:rsidR="009E3D3E" w:rsidRDefault="009E3D3E">
            <w:pPr>
              <w:spacing w:before="120"/>
            </w:pPr>
            <w:r>
              <w:t>- badanie krwi noworodkowej</w:t>
            </w:r>
          </w:p>
          <w:p w:rsidR="009E3D3E" w:rsidRDefault="009E3D3E" w:rsidP="00440814">
            <w:pPr>
              <w:suppressAutoHyphens/>
              <w:spacing w:before="120"/>
              <w:rPr>
                <w:lang w:eastAsia="ar-SA"/>
              </w:rPr>
            </w:pPr>
            <w:r>
              <w:t xml:space="preserve">- spełniający standardy ISO 15197:2015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TAK/Podać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TAK/Podać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TAK/Podać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lang w:eastAsia="ar-SA"/>
              </w:rPr>
            </w:pPr>
            <w:r>
              <w:t>Nakłuwacze jednorazowe (z igłą wysuwającą się i chowającą się w obudowie jednorazowo i automatycznie przez naciśnięcie), głębokość nakłucia 1,8mm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lang w:eastAsia="ar-SA"/>
              </w:rPr>
            </w:pPr>
            <w:r>
              <w:t xml:space="preserve">Dostępność do serwisu- w przypadku zaoferowania </w:t>
            </w:r>
            <w:proofErr w:type="spellStart"/>
            <w:r>
              <w:t>glukometrów</w:t>
            </w:r>
            <w:proofErr w:type="spellEnd"/>
            <w:r>
              <w:t xml:space="preserve"> z niewymienna baterią Wykonawca dokonuje wymiany urządzenia (na swój koszt) na nowe w ciągu 2 dni od daty zgłoszenia.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  <w:rPr>
                <w:lang w:eastAsia="ar-SA"/>
              </w:rPr>
            </w:pPr>
            <w: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>
            <w:pPr>
              <w:suppressAutoHyphens/>
              <w:spacing w:before="120"/>
              <w:rPr>
                <w:lang w:eastAsia="ar-SA"/>
              </w:rPr>
            </w:pPr>
            <w:r>
              <w:t xml:space="preserve">W przypadku uszkodzenia </w:t>
            </w:r>
            <w:proofErr w:type="spellStart"/>
            <w:r>
              <w:t>glukometru</w:t>
            </w:r>
            <w:proofErr w:type="spellEnd"/>
            <w:r>
              <w:t xml:space="preserve"> Wykonawca dokonuje wymiany (na swój koszt) uszkodzonego </w:t>
            </w:r>
            <w:r>
              <w:lastRenderedPageBreak/>
              <w:t>urządzenia na nowe w ciągu 2 dni od daty zgłoszenia.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  <w:rPr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 w:rsidP="00253FFD">
            <w:pPr>
              <w:suppressAutoHyphens/>
              <w:spacing w:before="120"/>
              <w:rPr>
                <w:lang w:eastAsia="ar-SA"/>
              </w:rPr>
            </w:pPr>
            <w:r>
              <w:t xml:space="preserve">Wykonawca przeprowadzać będzie na terenie Szpitala raz na 6 miesięcy test poprawności pomiarów wszystkich 30 </w:t>
            </w:r>
            <w:proofErr w:type="spellStart"/>
            <w:r>
              <w:t>glukometrów</w:t>
            </w:r>
            <w:proofErr w:type="spellEnd"/>
            <w:r>
              <w:t xml:space="preserve"> przy użyciu roztworów kontrolnych (na swój koszt)  oraz każdorazowo w sytuacji, kiedy Zamawiający będzie podejrzewał błędy w wynikach pomiarowych </w:t>
            </w:r>
            <w:proofErr w:type="spellStart"/>
            <w:r>
              <w:t>glukometrów</w:t>
            </w:r>
            <w:proofErr w:type="spellEnd"/>
            <w:r>
              <w:t xml:space="preserve">. Jeżeli przeprowadzenie w/w testów będzie się wiązało z odebraniem </w:t>
            </w:r>
            <w:proofErr w:type="spellStart"/>
            <w:r>
              <w:t>glukometrów</w:t>
            </w:r>
            <w:proofErr w:type="spellEnd"/>
            <w:r>
              <w:t xml:space="preserve"> na jakiś czas od Zamawiającego, to Wykonawca zapewni na ten czas gleukometry zastępcze.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</w:p>
        </w:tc>
      </w:tr>
      <w:tr w:rsidR="009E3D3E" w:rsidTr="009E3D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DF1539">
            <w:pPr>
              <w:suppressAutoHyphens/>
              <w:spacing w:before="120"/>
            </w:pPr>
            <w: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3E" w:rsidRDefault="009E3D3E" w:rsidP="00440814">
            <w:pPr>
              <w:suppressAutoHyphens/>
              <w:spacing w:before="120"/>
            </w:pPr>
            <w:r>
              <w:t>Nieodpłatne zapewnienie dostaw płynów kontrolnych (min. 2 różne zakresy) w ilości zapewniającej bieżąca kontrolę jakości oznaczeń w okresie obowiązywania umowy.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3E" w:rsidRDefault="009E3D3E">
            <w:pPr>
              <w:suppressAutoHyphens/>
              <w:spacing w:before="120"/>
              <w:rPr>
                <w:b/>
                <w:lang w:eastAsia="ar-SA"/>
              </w:rPr>
            </w:pPr>
          </w:p>
        </w:tc>
      </w:tr>
    </w:tbl>
    <w:p w:rsidR="00440814" w:rsidRDefault="00440814" w:rsidP="009E3D3E">
      <w:pPr>
        <w:suppressAutoHyphens/>
        <w:spacing w:before="120"/>
      </w:pPr>
      <w:r>
        <w:t>Zamawiający na etapie badania oferty zastrzega sobie prawo przetestowania zaoferowanych wyrobów celem potwierdzenia spełniania wymagań opisanych w pozycjach 1</w:t>
      </w:r>
      <w:r w:rsidR="009E3D3E">
        <w:t>,2,5</w:t>
      </w:r>
      <w:r w:rsidR="00DF1539">
        <w:t>,6</w:t>
      </w:r>
      <w:r>
        <w:t xml:space="preserve"> i w związku z tym </w:t>
      </w:r>
      <w:r>
        <w:rPr>
          <w:b/>
        </w:rPr>
        <w:t xml:space="preserve">Zamawiający wymaga dostarczenia razem z ofertą 1 </w:t>
      </w:r>
      <w:proofErr w:type="spellStart"/>
      <w:r>
        <w:rPr>
          <w:b/>
        </w:rPr>
        <w:t>glukometru</w:t>
      </w:r>
      <w:proofErr w:type="spellEnd"/>
      <w:r>
        <w:rPr>
          <w:b/>
        </w:rPr>
        <w:t xml:space="preserve"> oraz 20 szt. proponowanych nakłuwaczy i 20 szt. proponowanych pasków.</w:t>
      </w:r>
    </w:p>
    <w:p w:rsidR="00440814" w:rsidRDefault="00440814" w:rsidP="00440814">
      <w:pPr>
        <w:spacing w:before="120"/>
        <w:ind w:left="357"/>
        <w:jc w:val="right"/>
        <w:rPr>
          <w:b/>
          <w:sz w:val="20"/>
          <w:szCs w:val="20"/>
        </w:rPr>
      </w:pPr>
    </w:p>
    <w:p w:rsidR="00440814" w:rsidRDefault="00440814" w:rsidP="00440814">
      <w:pPr>
        <w:jc w:val="center"/>
        <w:rPr>
          <w:rFonts w:eastAsia="Calibri"/>
          <w:b/>
        </w:rPr>
      </w:pPr>
    </w:p>
    <w:p w:rsidR="00440814" w:rsidRDefault="00440814" w:rsidP="00440814">
      <w:pPr>
        <w:jc w:val="center"/>
        <w:rPr>
          <w:b/>
          <w:sz w:val="28"/>
          <w:szCs w:val="28"/>
        </w:rPr>
      </w:pPr>
    </w:p>
    <w:p w:rsidR="005A328D" w:rsidRPr="00505A64" w:rsidRDefault="005A328D" w:rsidP="005A328D">
      <w:pPr>
        <w:rPr>
          <w:sz w:val="20"/>
          <w:szCs w:val="20"/>
          <w:u w:val="single"/>
        </w:rPr>
      </w:pPr>
      <w:r>
        <w:t xml:space="preserve">         </w:t>
      </w:r>
      <w:r w:rsidRPr="00505A64">
        <w:rPr>
          <w:sz w:val="20"/>
          <w:szCs w:val="20"/>
          <w:u w:val="single"/>
        </w:rPr>
        <w:t>Miejscowość ,data</w:t>
      </w:r>
    </w:p>
    <w:p w:rsidR="005A328D" w:rsidRDefault="005A328D" w:rsidP="005A328D">
      <w:pPr>
        <w:jc w:val="right"/>
      </w:pPr>
      <w:r>
        <w:t xml:space="preserve">                                                                                  ______________________________ 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Podpis i pieczątka uprawnionego</w:t>
      </w:r>
    </w:p>
    <w:p w:rsidR="005A328D" w:rsidRDefault="005A328D" w:rsidP="005A32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przedstawiciela wykonawcy</w:t>
      </w:r>
    </w:p>
    <w:p w:rsidR="00447749" w:rsidRDefault="00447749" w:rsidP="005A328D">
      <w:pPr>
        <w:jc w:val="righ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5A328D" w:rsidRDefault="005A328D" w:rsidP="00447749">
      <w:pPr>
        <w:rPr>
          <w:rFonts w:eastAsia="Calibri"/>
          <w:b/>
        </w:rPr>
      </w:pPr>
    </w:p>
    <w:p w:rsidR="00447749" w:rsidRDefault="00447749" w:rsidP="00447749">
      <w:pPr>
        <w:suppressAutoHyphens/>
        <w:rPr>
          <w:rFonts w:eastAsiaTheme="minorHAnsi"/>
          <w:szCs w:val="20"/>
          <w:lang w:eastAsia="ar-SA"/>
        </w:rPr>
      </w:pPr>
    </w:p>
    <w:p w:rsidR="00447749" w:rsidRDefault="00447749" w:rsidP="00447749">
      <w:pPr>
        <w:pStyle w:val="Akapitzlist"/>
        <w:rPr>
          <w:szCs w:val="22"/>
          <w:lang w:eastAsia="en-US"/>
        </w:rPr>
      </w:pPr>
    </w:p>
    <w:p w:rsidR="00447749" w:rsidRDefault="00447749" w:rsidP="00447749"/>
    <w:p w:rsidR="00447749" w:rsidRDefault="00447749" w:rsidP="0023270E">
      <w:pPr>
        <w:rPr>
          <w:b/>
        </w:rPr>
      </w:pPr>
    </w:p>
    <w:p w:rsidR="0023270E" w:rsidRPr="00B54384" w:rsidRDefault="0023270E" w:rsidP="0023270E">
      <w:pPr>
        <w:jc w:val="right"/>
        <w:rPr>
          <w:b/>
          <w:sz w:val="28"/>
          <w:szCs w:val="28"/>
        </w:rPr>
      </w:pPr>
    </w:p>
    <w:p w:rsidR="0023270E" w:rsidRPr="00B54384" w:rsidRDefault="0023270E" w:rsidP="0023270E">
      <w:pPr>
        <w:jc w:val="right"/>
        <w:rPr>
          <w:b/>
          <w:sz w:val="28"/>
          <w:szCs w:val="28"/>
        </w:rPr>
      </w:pPr>
    </w:p>
    <w:p w:rsidR="0023270E" w:rsidRDefault="0023270E" w:rsidP="0023270E">
      <w:pPr>
        <w:jc w:val="right"/>
        <w:rPr>
          <w:b/>
          <w:sz w:val="28"/>
          <w:szCs w:val="28"/>
        </w:rPr>
      </w:pPr>
    </w:p>
    <w:p w:rsidR="008A574A" w:rsidRDefault="008A574A"/>
    <w:sectPr w:rsidR="008A574A" w:rsidSect="006B4FD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37725E7"/>
    <w:multiLevelType w:val="hybridMultilevel"/>
    <w:tmpl w:val="B1ACCA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0EA8"/>
    <w:multiLevelType w:val="hybridMultilevel"/>
    <w:tmpl w:val="E2C8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615EB"/>
    <w:multiLevelType w:val="hybridMultilevel"/>
    <w:tmpl w:val="76CC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49CE"/>
    <w:multiLevelType w:val="hybridMultilevel"/>
    <w:tmpl w:val="4AE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35B6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9627B"/>
    <w:multiLevelType w:val="hybridMultilevel"/>
    <w:tmpl w:val="B9823A92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86A27"/>
    <w:multiLevelType w:val="hybridMultilevel"/>
    <w:tmpl w:val="21CE354C"/>
    <w:lvl w:ilvl="0" w:tplc="F7401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B4AE8"/>
    <w:multiLevelType w:val="hybridMultilevel"/>
    <w:tmpl w:val="C68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0E"/>
    <w:rsid w:val="000560FB"/>
    <w:rsid w:val="000A6DFC"/>
    <w:rsid w:val="0023270E"/>
    <w:rsid w:val="00253FFD"/>
    <w:rsid w:val="002A4618"/>
    <w:rsid w:val="00371C46"/>
    <w:rsid w:val="00393822"/>
    <w:rsid w:val="003C38F6"/>
    <w:rsid w:val="00440814"/>
    <w:rsid w:val="00447749"/>
    <w:rsid w:val="004B5D64"/>
    <w:rsid w:val="0056467F"/>
    <w:rsid w:val="00574C38"/>
    <w:rsid w:val="005A328D"/>
    <w:rsid w:val="00651E3B"/>
    <w:rsid w:val="006A0B76"/>
    <w:rsid w:val="006B4FD6"/>
    <w:rsid w:val="00771AE6"/>
    <w:rsid w:val="007A534F"/>
    <w:rsid w:val="008362F1"/>
    <w:rsid w:val="008A574A"/>
    <w:rsid w:val="009E3D3E"/>
    <w:rsid w:val="00A1542C"/>
    <w:rsid w:val="00A57CB9"/>
    <w:rsid w:val="00A826CF"/>
    <w:rsid w:val="00AB5054"/>
    <w:rsid w:val="00B54384"/>
    <w:rsid w:val="00CF2D11"/>
    <w:rsid w:val="00DF1539"/>
    <w:rsid w:val="00E1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pable">
    <w:name w:val="tooltippable"/>
    <w:basedOn w:val="Domylnaczcionkaakapitu"/>
    <w:rsid w:val="0023270E"/>
  </w:style>
  <w:style w:type="paragraph" w:customStyle="1" w:styleId="Default">
    <w:name w:val="Default"/>
    <w:rsid w:val="00232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2018-04-06T11:51:00Z</dcterms:created>
  <dcterms:modified xsi:type="dcterms:W3CDTF">2018-04-06T11:51:00Z</dcterms:modified>
</cp:coreProperties>
</file>