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D515A6" w:rsidRDefault="008B1154" w:rsidP="00100FE1">
      <w:pPr>
        <w:pStyle w:val="NormalnyWeb"/>
        <w:spacing w:before="0" w:after="0"/>
        <w:jc w:val="right"/>
      </w:pPr>
      <w:r w:rsidRPr="00D515A6">
        <w:t xml:space="preserve">        Lubaczów, </w:t>
      </w:r>
      <w:r w:rsidR="005603D1" w:rsidRPr="00D515A6">
        <w:t>0</w:t>
      </w:r>
      <w:r w:rsidR="00D515A6">
        <w:t>9</w:t>
      </w:r>
      <w:r w:rsidR="005603D1" w:rsidRPr="00D515A6">
        <w:t>.09.2020</w:t>
      </w:r>
    </w:p>
    <w:p w:rsidR="00100FE1" w:rsidRPr="00D515A6" w:rsidRDefault="00100FE1" w:rsidP="00100FE1">
      <w:pPr>
        <w:pStyle w:val="NormalnyWeb"/>
        <w:spacing w:before="0" w:after="0"/>
        <w:jc w:val="both"/>
      </w:pPr>
    </w:p>
    <w:p w:rsidR="00100FE1" w:rsidRPr="00D515A6" w:rsidRDefault="00100FE1" w:rsidP="00100FE1">
      <w:pPr>
        <w:pStyle w:val="NormalnyWeb"/>
        <w:spacing w:before="0" w:after="0"/>
        <w:rPr>
          <w:b/>
        </w:rPr>
      </w:pPr>
      <w:r w:rsidRPr="00D515A6">
        <w:rPr>
          <w:b/>
        </w:rPr>
        <w:t>ZP.261.</w:t>
      </w:r>
      <w:r w:rsidR="008135B4" w:rsidRPr="00D515A6">
        <w:rPr>
          <w:b/>
        </w:rPr>
        <w:t>7</w:t>
      </w:r>
      <w:r w:rsidRPr="00D515A6">
        <w:rPr>
          <w:b/>
        </w:rPr>
        <w:t>.20</w:t>
      </w:r>
      <w:r w:rsidR="008135B4" w:rsidRPr="00D515A6">
        <w:rPr>
          <w:b/>
        </w:rPr>
        <w:t>20</w:t>
      </w:r>
    </w:p>
    <w:p w:rsidR="00100FE1" w:rsidRPr="00D515A6" w:rsidRDefault="00100FE1" w:rsidP="00100FE1">
      <w:pPr>
        <w:pStyle w:val="NormalnyWeb"/>
        <w:spacing w:before="0" w:after="0"/>
        <w:jc w:val="center"/>
        <w:rPr>
          <w:b/>
        </w:rPr>
      </w:pPr>
    </w:p>
    <w:p w:rsidR="00100FE1" w:rsidRPr="00D515A6" w:rsidRDefault="00100FE1" w:rsidP="00100FE1">
      <w:pPr>
        <w:pStyle w:val="NormalnyWeb"/>
        <w:spacing w:before="0" w:after="0"/>
        <w:jc w:val="center"/>
        <w:rPr>
          <w:b/>
        </w:rPr>
      </w:pPr>
    </w:p>
    <w:p w:rsidR="00100FE1" w:rsidRPr="00D515A6" w:rsidRDefault="00100FE1" w:rsidP="00100FE1">
      <w:pPr>
        <w:pStyle w:val="NormalnyWeb"/>
        <w:spacing w:before="0" w:after="0"/>
        <w:jc w:val="center"/>
        <w:rPr>
          <w:b/>
        </w:rPr>
      </w:pPr>
      <w:r w:rsidRPr="00D515A6">
        <w:rPr>
          <w:b/>
        </w:rPr>
        <w:t>Wszyscy uczestnicy postępowania</w:t>
      </w:r>
    </w:p>
    <w:p w:rsidR="00100FE1" w:rsidRPr="00D515A6" w:rsidRDefault="00100FE1" w:rsidP="00100FE1">
      <w:pPr>
        <w:pStyle w:val="NormalnyWeb"/>
        <w:spacing w:before="0" w:after="0"/>
        <w:jc w:val="both"/>
        <w:rPr>
          <w:b/>
          <w:u w:val="single"/>
        </w:rPr>
      </w:pPr>
    </w:p>
    <w:p w:rsidR="00100FE1" w:rsidRPr="00D515A6" w:rsidRDefault="00100FE1" w:rsidP="00100FE1">
      <w:pPr>
        <w:jc w:val="center"/>
        <w:rPr>
          <w:b/>
        </w:rPr>
      </w:pPr>
    </w:p>
    <w:p w:rsidR="00100FE1" w:rsidRPr="00D515A6" w:rsidRDefault="00100FE1" w:rsidP="00100FE1">
      <w:pPr>
        <w:jc w:val="center"/>
        <w:rPr>
          <w:b/>
        </w:rPr>
      </w:pPr>
      <w:r w:rsidRPr="00D515A6">
        <w:rPr>
          <w:b/>
        </w:rPr>
        <w:t>Wyjaśnienia</w:t>
      </w:r>
    </w:p>
    <w:p w:rsidR="00100FE1" w:rsidRPr="00D515A6" w:rsidRDefault="00100FE1" w:rsidP="00100FE1"/>
    <w:p w:rsidR="00100FE1" w:rsidRPr="00D515A6" w:rsidRDefault="00100FE1" w:rsidP="00100FE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4"/>
          <w:szCs w:val="24"/>
        </w:rPr>
      </w:pPr>
      <w:r w:rsidRPr="00D515A6">
        <w:rPr>
          <w:rFonts w:ascii="Times New Roman" w:hAnsi="Times New Roman" w:cs="Times New Roman"/>
          <w:sz w:val="24"/>
          <w:szCs w:val="24"/>
        </w:rPr>
        <w:t>Dotyczy: przetargu nieograniczonego na d</w:t>
      </w:r>
      <w:r w:rsidRPr="00D515A6">
        <w:rPr>
          <w:rFonts w:ascii="Times New Roman" w:eastAsia="TimesNewRomanPS-BoldMT" w:hAnsi="Times New Roman" w:cs="Times New Roman"/>
          <w:sz w:val="24"/>
          <w:szCs w:val="24"/>
        </w:rPr>
        <w:t xml:space="preserve">ostawę produktów leczniczych, wyrobów medycznych  i innych </w:t>
      </w:r>
    </w:p>
    <w:p w:rsidR="00100FE1" w:rsidRPr="00D515A6" w:rsidRDefault="00100FE1" w:rsidP="00100FE1">
      <w:r w:rsidRPr="00D515A6"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431268" w:rsidRPr="00D515A6" w:rsidRDefault="00431268" w:rsidP="00100FE1"/>
    <w:p w:rsidR="00431268" w:rsidRPr="00D515A6" w:rsidRDefault="00431268" w:rsidP="00431268">
      <w:pPr>
        <w:rPr>
          <w:b/>
          <w:i/>
        </w:rPr>
      </w:pPr>
      <w:r w:rsidRPr="00D515A6">
        <w:rPr>
          <w:b/>
          <w:i/>
        </w:rPr>
        <w:t>Pytanie dot. Części nr 14 (Płyny infuzyjne)</w:t>
      </w:r>
    </w:p>
    <w:p w:rsidR="00431268" w:rsidRPr="00D515A6" w:rsidRDefault="00431268" w:rsidP="00431268">
      <w:pPr>
        <w:rPr>
          <w:b/>
          <w:i/>
        </w:rPr>
      </w:pPr>
    </w:p>
    <w:p w:rsidR="00431268" w:rsidRPr="00D515A6" w:rsidRDefault="00431268" w:rsidP="00431268">
      <w:pPr>
        <w:numPr>
          <w:ilvl w:val="0"/>
          <w:numId w:val="7"/>
        </w:numPr>
        <w:suppressAutoHyphens w:val="0"/>
      </w:pPr>
      <w:r w:rsidRPr="00D515A6">
        <w:t xml:space="preserve">Prosimy o doprecyzowanie czy Zamawiający w Części Nr 14 w poz. 1-7, 10-12, 14 miał na myśli płyny infuzyjne w bezpiecznych opakowaniach typu butelka (polietylen/polipropylen) </w:t>
      </w:r>
      <w:proofErr w:type="spellStart"/>
      <w:r w:rsidRPr="00D515A6">
        <w:t>KabiPac</w:t>
      </w:r>
      <w:proofErr w:type="spellEnd"/>
      <w:r w:rsidRPr="00D515A6">
        <w:t>/</w:t>
      </w:r>
      <w:proofErr w:type="spellStart"/>
      <w:r w:rsidRPr="00D515A6">
        <w:t>KabiClear</w:t>
      </w:r>
      <w:proofErr w:type="spellEnd"/>
      <w:r w:rsidRPr="00D515A6">
        <w:t xml:space="preserve"> wyposażone w dwa różnej wielkości porty zabezpieczone plastikowymi zatyczkami (dodatkowo oznaczonymi strzałkami, jedna do wstrzyknięcia, druga wskazująca miejsce do podłączenia zestawu do infuzji) co zmniejsza ryzyko kontaminacji.</w:t>
      </w:r>
    </w:p>
    <w:p w:rsidR="00431268" w:rsidRPr="00D515A6" w:rsidRDefault="00431268" w:rsidP="00431268">
      <w:pPr>
        <w:ind w:left="502"/>
      </w:pPr>
      <w:r w:rsidRPr="00D515A6">
        <w:t xml:space="preserve">Porty w proponowanych opakowaniach mają właściwości </w:t>
      </w:r>
      <w:proofErr w:type="spellStart"/>
      <w:r w:rsidRPr="00D515A6">
        <w:t>samozasklepiające</w:t>
      </w:r>
      <w:proofErr w:type="spellEnd"/>
      <w:r w:rsidRPr="00D515A6">
        <w:t xml:space="preserve"> dzięki czemu nawet po przypadkowym wyrwaniu zestawu do infuzji zalecony w terapii płyn nie wycieknie na zewnątrz. </w:t>
      </w:r>
    </w:p>
    <w:p w:rsidR="00431268" w:rsidRPr="00D515A6" w:rsidRDefault="00431268" w:rsidP="00431268">
      <w:r w:rsidRPr="00D515A6">
        <w:t xml:space="preserve">          Takie opakowanie skraca czas pracy personelu przy przygotowaniu infuzji oraz zmniejsza koszty  przygotowania ze względu na brak konieczności dezynfekcji portów przed pierwszym użyciem.</w:t>
      </w:r>
    </w:p>
    <w:p w:rsidR="00431268" w:rsidRPr="00D515A6" w:rsidRDefault="00431268" w:rsidP="00431268">
      <w:r w:rsidRPr="00D515A6">
        <w:t>Odp.: TAK</w:t>
      </w:r>
    </w:p>
    <w:p w:rsidR="00431268" w:rsidRPr="00D515A6" w:rsidRDefault="00431268" w:rsidP="00431268">
      <w:pPr>
        <w:numPr>
          <w:ilvl w:val="0"/>
          <w:numId w:val="7"/>
        </w:numPr>
        <w:suppressAutoHyphens w:val="0"/>
        <w:jc w:val="both"/>
      </w:pPr>
      <w:r w:rsidRPr="00D515A6">
        <w:t>W związku z zakończeniem produkcji poz. 9 Dekstranu 70 000 6% 500 ml, czy Zamawiający wyrazi zgodę na podanie ostatniej ceny i informacji pod pakietem o braku dostępności na rynku?</w:t>
      </w:r>
    </w:p>
    <w:p w:rsidR="00431268" w:rsidRPr="00D515A6" w:rsidRDefault="00431268" w:rsidP="00431268">
      <w:pPr>
        <w:suppressAutoHyphens w:val="0"/>
        <w:ind w:left="142"/>
        <w:jc w:val="both"/>
      </w:pPr>
      <w:r w:rsidRPr="00D515A6">
        <w:t>Odp.: Zamawiający wyraża zgodę na podanie ostatniej ceny i informacji pod pakietem o braku dostępności na rynku</w:t>
      </w:r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 xml:space="preserve">3. Czy Zamawiający ze </w:t>
      </w:r>
      <w:proofErr w:type="spellStart"/>
      <w:r w:rsidRPr="00D515A6">
        <w:rPr>
          <w:color w:val="000000"/>
          <w:lang w:eastAsia="pl-PL"/>
        </w:rPr>
        <w:t>wględu</w:t>
      </w:r>
      <w:proofErr w:type="spellEnd"/>
      <w:r w:rsidRPr="00D515A6">
        <w:rPr>
          <w:color w:val="000000"/>
          <w:lang w:eastAsia="pl-PL"/>
        </w:rPr>
        <w:t xml:space="preserve"> na zaistniałą sytuacje epidemiologiczną wyrazi zgodę na zaoferowanie w części 14 pozycja  </w:t>
      </w:r>
      <w:r w:rsidRPr="00D515A6">
        <w:rPr>
          <w:b/>
          <w:bCs/>
          <w:lang w:eastAsia="pl-PL"/>
        </w:rPr>
        <w:t xml:space="preserve">1,2,3,4,5,6,7,10,11,12 </w:t>
      </w:r>
      <w:r w:rsidRPr="00D515A6">
        <w:rPr>
          <w:color w:val="000000"/>
          <w:lang w:eastAsia="pl-PL"/>
        </w:rPr>
        <w:t xml:space="preserve">opakowań bezpiecznych w systemie zamkniętym, gdzie </w:t>
      </w:r>
      <w:proofErr w:type="spellStart"/>
      <w:r w:rsidRPr="00D515A6">
        <w:rPr>
          <w:color w:val="000000"/>
          <w:lang w:eastAsia="pl-PL"/>
        </w:rPr>
        <w:t>obiętość</w:t>
      </w:r>
      <w:proofErr w:type="spellEnd"/>
      <w:r w:rsidRPr="00D515A6">
        <w:rPr>
          <w:color w:val="000000"/>
          <w:lang w:eastAsia="pl-PL"/>
        </w:rPr>
        <w:t xml:space="preserve"> resztkowa dla pojemności wynosi odpowiednio:</w:t>
      </w:r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>100 ml – 0,3ml</w:t>
      </w:r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>250 ml – 0,7ml</w:t>
      </w:r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>500 ml – 1,2 ml</w:t>
      </w:r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 xml:space="preserve">1000 ml – 1ml </w:t>
      </w:r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lastRenderedPageBreak/>
        <w:t xml:space="preserve">Minimalna </w:t>
      </w:r>
      <w:proofErr w:type="spellStart"/>
      <w:r w:rsidRPr="00D515A6">
        <w:rPr>
          <w:color w:val="000000"/>
          <w:lang w:eastAsia="pl-PL"/>
        </w:rPr>
        <w:t>objętośc</w:t>
      </w:r>
      <w:proofErr w:type="spellEnd"/>
      <w:r w:rsidRPr="00D515A6">
        <w:rPr>
          <w:color w:val="000000"/>
          <w:lang w:eastAsia="pl-PL"/>
        </w:rPr>
        <w:t xml:space="preserve"> resztkowa wynosi mniej niż 2% objętości wyjściowej płynu infuzyjnego przy zamkniętym odpowietrzniku w aparacie do przetoczeń odpowiednio dla pojemności 100ml,250ml,500ml, 1000ml- na potwierdzenie czego Wykonawca załączy oświadczenie ze wskazaniem objętości resztkowej dla poszczególnych objętości.  Przyjęcie takiego wymogu  przyczyni się do uzyskania przez Państwa </w:t>
      </w:r>
      <w:proofErr w:type="spellStart"/>
      <w:r w:rsidRPr="00D515A6">
        <w:rPr>
          <w:color w:val="000000"/>
          <w:lang w:eastAsia="pl-PL"/>
        </w:rPr>
        <w:t>oszczedności</w:t>
      </w:r>
      <w:proofErr w:type="spellEnd"/>
      <w:r w:rsidRPr="00D515A6">
        <w:rPr>
          <w:color w:val="000000"/>
          <w:lang w:eastAsia="pl-PL"/>
        </w:rPr>
        <w:t xml:space="preserve">, ponieważ znacząco zmniejszy ryzyko utraty leku oraz zwiększy </w:t>
      </w:r>
      <w:proofErr w:type="spellStart"/>
      <w:r w:rsidRPr="00D515A6">
        <w:rPr>
          <w:color w:val="000000"/>
          <w:lang w:eastAsia="pl-PL"/>
        </w:rPr>
        <w:t>skutecznośc</w:t>
      </w:r>
      <w:proofErr w:type="spellEnd"/>
      <w:r w:rsidRPr="00D515A6">
        <w:rPr>
          <w:color w:val="000000"/>
          <w:lang w:eastAsia="pl-PL"/>
        </w:rPr>
        <w:t xml:space="preserve"> terapii i bezpieczeństwo Pacjentów.</w:t>
      </w:r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>Zamknięty System Infuzyjny:</w:t>
      </w:r>
    </w:p>
    <w:p w:rsidR="00431268" w:rsidRPr="00D515A6" w:rsidRDefault="00431268" w:rsidP="00431268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obniża ryzyko zakażeń krwi (BSI) o 64%</w:t>
      </w:r>
    </w:p>
    <w:p w:rsidR="00431268" w:rsidRPr="00D515A6" w:rsidRDefault="00431268" w:rsidP="00431268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zmniejsza śmiertelność wśród pacjentów o 91%</w:t>
      </w:r>
    </w:p>
    <w:p w:rsidR="00431268" w:rsidRPr="00D515A6" w:rsidRDefault="00431268" w:rsidP="00431268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obniża koszty leczenia o 83% ¹</w:t>
      </w:r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vertAlign w:val="superscript"/>
          <w:lang w:val="en-US" w:eastAsia="pl-PL"/>
        </w:rPr>
        <w:t>(1</w:t>
      </w:r>
      <w:r w:rsidRPr="00D515A6">
        <w:rPr>
          <w:color w:val="000000"/>
          <w:lang w:val="en-US" w:eastAsia="pl-PL"/>
        </w:rPr>
        <w:t xml:space="preserve"> Rosenthal VD, Maki DG. </w:t>
      </w:r>
      <w:r w:rsidRPr="00D515A6">
        <w:rPr>
          <w:i/>
          <w:iCs/>
          <w:color w:val="000000"/>
          <w:lang w:val="en-US" w:eastAsia="pl-PL"/>
        </w:rPr>
        <w:t xml:space="preserve">Prospective study of the impact of open and closed infusion systems on rates of central venous catheter-associated </w:t>
      </w:r>
      <w:proofErr w:type="spellStart"/>
      <w:r w:rsidRPr="00D515A6">
        <w:rPr>
          <w:i/>
          <w:iCs/>
          <w:color w:val="000000"/>
          <w:lang w:val="en-US" w:eastAsia="pl-PL"/>
        </w:rPr>
        <w:t>bacteremia.Am</w:t>
      </w:r>
      <w:proofErr w:type="spellEnd"/>
      <w:r w:rsidRPr="00D515A6">
        <w:rPr>
          <w:i/>
          <w:iCs/>
          <w:color w:val="000000"/>
          <w:lang w:val="en-US" w:eastAsia="pl-PL"/>
        </w:rPr>
        <w:t xml:space="preserve"> J Infect Control</w:t>
      </w:r>
      <w:r w:rsidRPr="00D515A6">
        <w:rPr>
          <w:color w:val="000000"/>
          <w:lang w:val="en-US" w:eastAsia="pl-PL"/>
        </w:rPr>
        <w:t xml:space="preserve">. </w:t>
      </w:r>
      <w:r w:rsidRPr="00D515A6">
        <w:rPr>
          <w:color w:val="000000"/>
          <w:lang w:eastAsia="pl-PL"/>
        </w:rPr>
        <w:t>2004;32:135-141).</w:t>
      </w:r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 xml:space="preserve">Dodatkowo pozwoli to Zamawiającemu znacznie obniżyć koszty utylizacji odpadów medycznych i </w:t>
      </w:r>
      <w:proofErr w:type="spellStart"/>
      <w:r w:rsidRPr="00D515A6">
        <w:rPr>
          <w:color w:val="000000"/>
          <w:lang w:eastAsia="pl-PL"/>
        </w:rPr>
        <w:t>bedzie</w:t>
      </w:r>
      <w:proofErr w:type="spellEnd"/>
      <w:r w:rsidRPr="00D515A6">
        <w:rPr>
          <w:color w:val="000000"/>
          <w:lang w:eastAsia="pl-PL"/>
        </w:rPr>
        <w:t xml:space="preserve"> odpowiedzią na drastycznie rosnące koszty z tego tytułu. Koszty utylizacji odpadów medycznych mog</w:t>
      </w:r>
      <w:r w:rsidRPr="00D515A6">
        <w:rPr>
          <w:lang w:eastAsia="pl-PL"/>
        </w:rPr>
        <w:t>ą</w:t>
      </w:r>
      <w:r w:rsidRPr="00D515A6">
        <w:rPr>
          <w:color w:val="000000"/>
          <w:lang w:eastAsia="pl-PL"/>
        </w:rPr>
        <w:t xml:space="preserve"> obecnie </w:t>
      </w:r>
      <w:proofErr w:type="spellStart"/>
      <w:r w:rsidRPr="00D515A6">
        <w:rPr>
          <w:color w:val="000000"/>
          <w:lang w:eastAsia="pl-PL"/>
        </w:rPr>
        <w:t>stanowic</w:t>
      </w:r>
      <w:proofErr w:type="spellEnd"/>
      <w:r w:rsidRPr="00D515A6">
        <w:rPr>
          <w:color w:val="000000"/>
          <w:lang w:eastAsia="pl-PL"/>
        </w:rPr>
        <w:t xml:space="preserve"> 5% budżetu Szpitala.  Na potwierdzenie czego Wykonawca załączy oświadczenie ze wskazaniem wagi opakowania</w:t>
      </w:r>
      <w:r w:rsidRPr="00D515A6">
        <w:rPr>
          <w:lang w:eastAsia="pl-PL"/>
        </w:rPr>
        <w:t xml:space="preserve"> po zakończonej infuzji dla wskazanych objętości</w:t>
      </w:r>
      <w:r w:rsidRPr="00D515A6">
        <w:rPr>
          <w:color w:val="000000"/>
          <w:lang w:eastAsia="pl-PL"/>
        </w:rPr>
        <w:t>.</w:t>
      </w:r>
    </w:p>
    <w:p w:rsidR="005C0151" w:rsidRPr="00D515A6" w:rsidRDefault="005C0151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color w:val="000000"/>
          <w:lang w:eastAsia="pl-PL"/>
        </w:rPr>
        <w:t xml:space="preserve">Odp.: Zgodnie z </w:t>
      </w:r>
      <w:proofErr w:type="spellStart"/>
      <w:r w:rsidRPr="00D515A6">
        <w:rPr>
          <w:color w:val="000000"/>
          <w:lang w:eastAsia="pl-PL"/>
        </w:rPr>
        <w:t>siwz</w:t>
      </w:r>
      <w:proofErr w:type="spellEnd"/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4. Czy w trosce o uzyskanie najkorzystniejszych warunków zakupu oraz najwyższej jakości produktów </w:t>
      </w:r>
      <w:r w:rsidRPr="00D515A6">
        <w:rPr>
          <w:i/>
          <w:iCs/>
          <w:lang w:eastAsia="pl-PL"/>
        </w:rPr>
        <w:t xml:space="preserve">Zamawiający </w:t>
      </w:r>
      <w:r w:rsidRPr="00D515A6">
        <w:rPr>
          <w:lang w:eastAsia="pl-PL"/>
        </w:rPr>
        <w:t xml:space="preserve"> wyrazi zgodę na zaoferowanie w części 14 w pozycji 13 preparatu Mannitol 15%, który  ulega krystalizacji dopiero w temperaturze poniżej 16 stopni C. Przechowywany więc w temperaturze pokojowej nie wymaga podgrzania co zdecydowanie ułatwia i przyspiesza proces podania leku pacjentowi. Produkt pakowany jest w worek </w:t>
      </w:r>
      <w:proofErr w:type="spellStart"/>
      <w:r w:rsidRPr="00D515A6">
        <w:rPr>
          <w:lang w:eastAsia="pl-PL"/>
        </w:rPr>
        <w:t>Viaflo</w:t>
      </w:r>
      <w:proofErr w:type="spellEnd"/>
      <w:r w:rsidRPr="00D515A6">
        <w:rPr>
          <w:lang w:eastAsia="pl-PL"/>
        </w:rPr>
        <w:t xml:space="preserve"> co zapobiega przypadkowemu stłuczeniu i w konsekwencji jest wygodniejszy dla personelu pielęgniarskiego oraz bezpieczniejszy dla pacjentów. </w:t>
      </w:r>
    </w:p>
    <w:p w:rsidR="005C0151" w:rsidRPr="00D515A6" w:rsidRDefault="005C0151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Odp.: Zgodnie z </w:t>
      </w:r>
      <w:proofErr w:type="spellStart"/>
      <w:r w:rsidRPr="00D515A6">
        <w:rPr>
          <w:lang w:eastAsia="pl-PL"/>
        </w:rPr>
        <w:t>siwz</w:t>
      </w:r>
      <w:proofErr w:type="spellEnd"/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5. Czy w trosce o uzyskanie najkorzystniejszych warunków zakupu oraz najwyższej jakości produktów </w:t>
      </w:r>
      <w:r w:rsidRPr="00D515A6">
        <w:rPr>
          <w:i/>
          <w:iCs/>
          <w:lang w:eastAsia="pl-PL"/>
        </w:rPr>
        <w:t xml:space="preserve">Zamawiający </w:t>
      </w:r>
      <w:r w:rsidRPr="00D515A6">
        <w:rPr>
          <w:lang w:eastAsia="pl-PL"/>
        </w:rPr>
        <w:t>wyrazi zgodę na zaoferowanie w  </w:t>
      </w:r>
      <w:proofErr w:type="spellStart"/>
      <w:r w:rsidRPr="00D515A6">
        <w:rPr>
          <w:lang w:eastAsia="pl-PL"/>
        </w:rPr>
        <w:t>częsci</w:t>
      </w:r>
      <w:proofErr w:type="spellEnd"/>
      <w:r w:rsidRPr="00D515A6">
        <w:rPr>
          <w:lang w:eastAsia="pl-PL"/>
        </w:rPr>
        <w:t xml:space="preserve"> 14 w pozycji 14  preparatu </w:t>
      </w:r>
      <w:proofErr w:type="spellStart"/>
      <w:r w:rsidRPr="00D515A6">
        <w:rPr>
          <w:lang w:eastAsia="pl-PL"/>
        </w:rPr>
        <w:t>PlasmaLyte</w:t>
      </w:r>
      <w:proofErr w:type="spellEnd"/>
      <w:r w:rsidRPr="00D515A6">
        <w:rPr>
          <w:lang w:eastAsia="pl-PL"/>
        </w:rPr>
        <w:t xml:space="preserve">, zbilansowanego podwójnie buforowanego płynu </w:t>
      </w:r>
      <w:proofErr w:type="spellStart"/>
      <w:r w:rsidRPr="00D515A6">
        <w:rPr>
          <w:lang w:eastAsia="pl-PL"/>
        </w:rPr>
        <w:t>wieloelektrolitowego</w:t>
      </w:r>
      <w:proofErr w:type="spellEnd"/>
      <w:r w:rsidRPr="00D515A6">
        <w:rPr>
          <w:lang w:eastAsia="pl-PL"/>
        </w:rPr>
        <w:t xml:space="preserve"> o </w:t>
      </w:r>
      <w:proofErr w:type="spellStart"/>
      <w:r w:rsidRPr="00D515A6">
        <w:rPr>
          <w:lang w:eastAsia="pl-PL"/>
        </w:rPr>
        <w:t>ph</w:t>
      </w:r>
      <w:proofErr w:type="spellEnd"/>
      <w:r w:rsidRPr="00D515A6">
        <w:rPr>
          <w:lang w:eastAsia="pl-PL"/>
        </w:rPr>
        <w:t xml:space="preserve"> 7,4, </w:t>
      </w:r>
      <w:proofErr w:type="spellStart"/>
      <w:r w:rsidRPr="00D515A6">
        <w:rPr>
          <w:lang w:eastAsia="pl-PL"/>
        </w:rPr>
        <w:t>osmolarności</w:t>
      </w:r>
      <w:proofErr w:type="spellEnd"/>
      <w:r w:rsidRPr="00D515A6">
        <w:rPr>
          <w:lang w:eastAsia="pl-PL"/>
        </w:rPr>
        <w:t xml:space="preserve"> 295 </w:t>
      </w:r>
      <w:proofErr w:type="spellStart"/>
      <w:r w:rsidRPr="00D515A6">
        <w:rPr>
          <w:lang w:eastAsia="pl-PL"/>
        </w:rPr>
        <w:t>mOsm</w:t>
      </w:r>
      <w:proofErr w:type="spellEnd"/>
      <w:r w:rsidRPr="00D515A6">
        <w:rPr>
          <w:lang w:eastAsia="pl-PL"/>
        </w:rPr>
        <w:t xml:space="preserve">/l oraz o następującym składzie: Na+ 140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K+ 5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Mg+ 1,5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Chlorki 98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Octan 27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</w:t>
      </w:r>
      <w:proofErr w:type="spellStart"/>
      <w:r w:rsidRPr="00D515A6">
        <w:rPr>
          <w:lang w:eastAsia="pl-PL"/>
        </w:rPr>
        <w:t>Glukonian</w:t>
      </w:r>
      <w:proofErr w:type="spellEnd"/>
      <w:r w:rsidRPr="00D515A6">
        <w:rPr>
          <w:lang w:eastAsia="pl-PL"/>
        </w:rPr>
        <w:t xml:space="preserve"> 23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/l.  </w:t>
      </w:r>
    </w:p>
    <w:p w:rsidR="005C0151" w:rsidRPr="00D515A6" w:rsidRDefault="005C0151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Odp.: Zgodnie z </w:t>
      </w:r>
      <w:proofErr w:type="spellStart"/>
      <w:r w:rsidRPr="00D515A6">
        <w:rPr>
          <w:lang w:eastAsia="pl-PL"/>
        </w:rPr>
        <w:t>siwz</w:t>
      </w:r>
      <w:proofErr w:type="spellEnd"/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 xml:space="preserve">6. Czy Zamawiający wyrazi zgodę na zaoferowanie w </w:t>
      </w:r>
      <w:r w:rsidRPr="00D515A6">
        <w:rPr>
          <w:b/>
          <w:bCs/>
          <w:lang w:eastAsia="pl-PL"/>
        </w:rPr>
        <w:t>części 17 pozycja 1,2,3,4,5,6,11,12,13,</w:t>
      </w:r>
      <w:r w:rsidRPr="00D515A6">
        <w:rPr>
          <w:lang w:eastAsia="pl-PL"/>
        </w:rPr>
        <w:t xml:space="preserve"> preparatu o takim samym zastosowaniu klinicznym  w workach </w:t>
      </w:r>
      <w:proofErr w:type="spellStart"/>
      <w:r w:rsidRPr="00D515A6">
        <w:rPr>
          <w:lang w:eastAsia="pl-PL"/>
        </w:rPr>
        <w:t>Viaflo</w:t>
      </w:r>
      <w:proofErr w:type="spellEnd"/>
      <w:r w:rsidRPr="00D515A6">
        <w:rPr>
          <w:lang w:eastAsia="pl-PL"/>
        </w:rPr>
        <w:t xml:space="preserve"> z dwoma niezależnymi portami, ponieważ:</w:t>
      </w:r>
    </w:p>
    <w:p w:rsidR="00431268" w:rsidRPr="00D515A6" w:rsidRDefault="00431268" w:rsidP="00431268">
      <w:pPr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 xml:space="preserve">zastosowanie opakowań typu worek </w:t>
      </w:r>
      <w:proofErr w:type="spellStart"/>
      <w:r w:rsidRPr="00D515A6">
        <w:rPr>
          <w:lang w:eastAsia="pl-PL"/>
        </w:rPr>
        <w:t>Viaflo</w:t>
      </w:r>
      <w:proofErr w:type="spellEnd"/>
      <w:r w:rsidRPr="00D515A6">
        <w:rPr>
          <w:lang w:eastAsia="pl-PL"/>
        </w:rPr>
        <w:t xml:space="preserve"> może w znaczny sposób wpłynąć na zmniejszenie ilości zakażeń związanych z linią naczyniową, ponieważ w celu </w:t>
      </w:r>
      <w:r w:rsidRPr="00D515A6">
        <w:rPr>
          <w:lang w:eastAsia="pl-PL"/>
        </w:rPr>
        <w:lastRenderedPageBreak/>
        <w:t xml:space="preserve">opróżnienia opakowanie nie wymaga odpowietrzania, czyli wyeliminowana jest droga wnikania patogenów bezpośrednio do organizmu pacjenta </w:t>
      </w:r>
    </w:p>
    <w:p w:rsidR="00431268" w:rsidRPr="00D515A6" w:rsidRDefault="00431268" w:rsidP="00431268">
      <w:pPr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>redukcja zakażeń ma bezpośredni wpływ na bezpieczeństwo pacjentów, personelu oraz zmniejszenie kosztów, również tych związanych z ewentualnymi roszczeniami ze strony pacjentów</w:t>
      </w:r>
    </w:p>
    <w:p w:rsidR="00431268" w:rsidRPr="00D515A6" w:rsidRDefault="00431268" w:rsidP="00431268">
      <w:pPr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 xml:space="preserve">worki </w:t>
      </w:r>
      <w:proofErr w:type="spellStart"/>
      <w:r w:rsidRPr="00D515A6">
        <w:rPr>
          <w:lang w:eastAsia="pl-PL"/>
        </w:rPr>
        <w:t>Viaflo</w:t>
      </w:r>
      <w:proofErr w:type="spellEnd"/>
      <w:r w:rsidRPr="00D515A6">
        <w:rPr>
          <w:lang w:eastAsia="pl-PL"/>
        </w:rPr>
        <w:t xml:space="preserve"> pakowane są w dodatkowe zewnętrzne opakowanie, dzięki czemu są dodatkowo chronione  przed mechanicznymi uszkodzeniami i biologiczną kontaminacją </w:t>
      </w:r>
    </w:p>
    <w:p w:rsidR="00431268" w:rsidRPr="00D515A6" w:rsidRDefault="00431268" w:rsidP="0043126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>koszty utylizacji opróżnionych worków są nawet o 50% niższe, niż koszty utylizacji opróżnionych butelek</w:t>
      </w:r>
    </w:p>
    <w:p w:rsidR="00431268" w:rsidRPr="00D515A6" w:rsidRDefault="00431268" w:rsidP="0043126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>składowanie produktów w opakowaniu typu worek wymaga znacznie mniejszej powierzchni magazynowej, ponieważ taka forma opakowania zajmuje mniej miejsca</w:t>
      </w:r>
    </w:p>
    <w:p w:rsidR="005C0151" w:rsidRPr="00D515A6" w:rsidRDefault="005C0151" w:rsidP="005C0151">
      <w:pPr>
        <w:suppressAutoHyphens w:val="0"/>
        <w:spacing w:before="100" w:beforeAutospacing="1" w:after="100" w:afterAutospacing="1"/>
        <w:ind w:left="360"/>
        <w:jc w:val="both"/>
        <w:rPr>
          <w:lang w:eastAsia="pl-PL"/>
        </w:rPr>
      </w:pPr>
      <w:r w:rsidRPr="00D515A6">
        <w:rPr>
          <w:lang w:eastAsia="pl-PL"/>
        </w:rPr>
        <w:t xml:space="preserve">Odp.: Zgodnie z </w:t>
      </w:r>
      <w:proofErr w:type="spellStart"/>
      <w:r w:rsidRPr="00D515A6">
        <w:rPr>
          <w:lang w:eastAsia="pl-PL"/>
        </w:rPr>
        <w:t>siwz</w:t>
      </w:r>
      <w:proofErr w:type="spellEnd"/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7.Czy w trosce o uzyskanie najkorzystniejszych warunków zakupu oraz najwyższej jakości produktów </w:t>
      </w:r>
      <w:r w:rsidRPr="00D515A6">
        <w:rPr>
          <w:i/>
          <w:iCs/>
          <w:lang w:eastAsia="pl-PL"/>
        </w:rPr>
        <w:t xml:space="preserve">Zamawiający </w:t>
      </w:r>
      <w:r w:rsidRPr="00D515A6">
        <w:rPr>
          <w:lang w:eastAsia="pl-PL"/>
        </w:rPr>
        <w:t xml:space="preserve">wyrazi zgodę na zaoferowanie w części 17  w pozycji 8 i 9   preparatu </w:t>
      </w:r>
      <w:proofErr w:type="spellStart"/>
      <w:r w:rsidRPr="00D515A6">
        <w:rPr>
          <w:lang w:eastAsia="pl-PL"/>
        </w:rPr>
        <w:t>PlasmaLyte</w:t>
      </w:r>
      <w:proofErr w:type="spellEnd"/>
      <w:r w:rsidRPr="00D515A6">
        <w:rPr>
          <w:lang w:eastAsia="pl-PL"/>
        </w:rPr>
        <w:t xml:space="preserve">, zbilansowanego podwójnie buforowanego płynu </w:t>
      </w:r>
      <w:proofErr w:type="spellStart"/>
      <w:r w:rsidRPr="00D515A6">
        <w:rPr>
          <w:lang w:eastAsia="pl-PL"/>
        </w:rPr>
        <w:t>wieloelektrolitowego</w:t>
      </w:r>
      <w:proofErr w:type="spellEnd"/>
      <w:r w:rsidRPr="00D515A6">
        <w:rPr>
          <w:lang w:eastAsia="pl-PL"/>
        </w:rPr>
        <w:t xml:space="preserve"> o </w:t>
      </w:r>
      <w:proofErr w:type="spellStart"/>
      <w:r w:rsidRPr="00D515A6">
        <w:rPr>
          <w:lang w:eastAsia="pl-PL"/>
        </w:rPr>
        <w:t>ph</w:t>
      </w:r>
      <w:proofErr w:type="spellEnd"/>
      <w:r w:rsidRPr="00D515A6">
        <w:rPr>
          <w:lang w:eastAsia="pl-PL"/>
        </w:rPr>
        <w:t xml:space="preserve"> 7,4, </w:t>
      </w:r>
      <w:proofErr w:type="spellStart"/>
      <w:r w:rsidRPr="00D515A6">
        <w:rPr>
          <w:lang w:eastAsia="pl-PL"/>
        </w:rPr>
        <w:t>osmolarności</w:t>
      </w:r>
      <w:proofErr w:type="spellEnd"/>
      <w:r w:rsidRPr="00D515A6">
        <w:rPr>
          <w:lang w:eastAsia="pl-PL"/>
        </w:rPr>
        <w:t xml:space="preserve"> 295 </w:t>
      </w:r>
      <w:proofErr w:type="spellStart"/>
      <w:r w:rsidRPr="00D515A6">
        <w:rPr>
          <w:lang w:eastAsia="pl-PL"/>
        </w:rPr>
        <w:t>mOsm</w:t>
      </w:r>
      <w:proofErr w:type="spellEnd"/>
      <w:r w:rsidRPr="00D515A6">
        <w:rPr>
          <w:lang w:eastAsia="pl-PL"/>
        </w:rPr>
        <w:t xml:space="preserve">/l oraz o następującym składzie: Na+ 140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K+ 5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Mg+ 1,5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Chlorki 98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Octan 27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/l, </w:t>
      </w:r>
      <w:proofErr w:type="spellStart"/>
      <w:r w:rsidRPr="00D515A6">
        <w:rPr>
          <w:lang w:eastAsia="pl-PL"/>
        </w:rPr>
        <w:t>Glukonian</w:t>
      </w:r>
      <w:proofErr w:type="spellEnd"/>
      <w:r w:rsidRPr="00D515A6">
        <w:rPr>
          <w:lang w:eastAsia="pl-PL"/>
        </w:rPr>
        <w:t xml:space="preserve"> 23 </w:t>
      </w:r>
      <w:proofErr w:type="spellStart"/>
      <w:r w:rsidRPr="00D515A6">
        <w:rPr>
          <w:lang w:eastAsia="pl-PL"/>
        </w:rPr>
        <w:t>mmol</w:t>
      </w:r>
      <w:proofErr w:type="spellEnd"/>
      <w:r w:rsidRPr="00D515A6">
        <w:rPr>
          <w:lang w:eastAsia="pl-PL"/>
        </w:rPr>
        <w:t xml:space="preserve">/l.  Produkt opakowany jest w  worek </w:t>
      </w:r>
      <w:proofErr w:type="spellStart"/>
      <w:r w:rsidRPr="00D515A6">
        <w:rPr>
          <w:lang w:eastAsia="pl-PL"/>
        </w:rPr>
        <w:t>Viaflo</w:t>
      </w:r>
      <w:proofErr w:type="spellEnd"/>
      <w:r w:rsidRPr="00D515A6">
        <w:rPr>
          <w:lang w:eastAsia="pl-PL"/>
        </w:rPr>
        <w:t xml:space="preserve">. </w:t>
      </w:r>
    </w:p>
    <w:p w:rsidR="005C0151" w:rsidRPr="00D515A6" w:rsidRDefault="005C0151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Odp.: Zgodnie z </w:t>
      </w:r>
      <w:proofErr w:type="spellStart"/>
      <w:r w:rsidRPr="00D515A6">
        <w:rPr>
          <w:lang w:eastAsia="pl-PL"/>
        </w:rPr>
        <w:t>siwz</w:t>
      </w:r>
      <w:proofErr w:type="spellEnd"/>
    </w:p>
    <w:p w:rsidR="00431268" w:rsidRPr="00D515A6" w:rsidRDefault="00431268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8.Czy w trosce o uzyskanie najkorzystniejszych warunków zakupu oraz najwyższej  jakości produktów </w:t>
      </w:r>
      <w:r w:rsidRPr="00D515A6">
        <w:rPr>
          <w:i/>
          <w:iCs/>
          <w:lang w:eastAsia="pl-PL"/>
        </w:rPr>
        <w:t>Zamawiający</w:t>
      </w:r>
      <w:r w:rsidRPr="00D515A6">
        <w:rPr>
          <w:lang w:eastAsia="pl-PL"/>
        </w:rPr>
        <w:t xml:space="preserve"> w części 17 w pozycji 20  wyrazi zgodę na zaoferowanie przyrządu typu </w:t>
      </w:r>
      <w:proofErr w:type="spellStart"/>
      <w:r w:rsidRPr="00D515A6">
        <w:rPr>
          <w:lang w:eastAsia="pl-PL"/>
        </w:rPr>
        <w:t>spike</w:t>
      </w:r>
      <w:proofErr w:type="spellEnd"/>
      <w:r w:rsidRPr="00D515A6">
        <w:rPr>
          <w:lang w:eastAsia="pl-PL"/>
        </w:rPr>
        <w:t xml:space="preserve"> do pobierania płynów z opakowań płynów infuzyjnych z automatyczną zastawką otwierającą drogę dla płynu tylko w chwili przyłączenia strzykawki dla ochrony przed przypadkowym wyciekiem płynu, z płaskim portem umożliwiającym dezynfekcję oraz z długim kolcem zapewniającym stabilne połączenie z butelką lub workiem. W IFU wspomnianego </w:t>
      </w:r>
      <w:proofErr w:type="spellStart"/>
      <w:r w:rsidRPr="00D515A6">
        <w:rPr>
          <w:lang w:eastAsia="pl-PL"/>
        </w:rPr>
        <w:t>spika</w:t>
      </w:r>
      <w:proofErr w:type="spellEnd"/>
      <w:r w:rsidRPr="00D515A6">
        <w:rPr>
          <w:lang w:eastAsia="pl-PL"/>
        </w:rPr>
        <w:t xml:space="preserve"> znajduje się informacja, że może on być używany przez 96h. W przypadku udzielenia pozytywnej odpowiedzi prosimy o wydzielenie pozycji do osobnego pakietu.</w:t>
      </w:r>
    </w:p>
    <w:p w:rsidR="005C0151" w:rsidRPr="00D515A6" w:rsidRDefault="005C0151" w:rsidP="00431268">
      <w:pPr>
        <w:suppressAutoHyphens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>Odp.: Zamawiający dopuszcza zaoferowany produkt, nie wyraża zgody na wydzielenie pozycji</w:t>
      </w:r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 xml:space="preserve">9.Czy w trosce o uzyskanie najkorzystniejszych warunków zakupu i najwyższej jakości produktów </w:t>
      </w:r>
      <w:r w:rsidRPr="00D515A6">
        <w:rPr>
          <w:i/>
          <w:iCs/>
          <w:lang w:eastAsia="pl-PL"/>
        </w:rPr>
        <w:t xml:space="preserve">Zamawiający </w:t>
      </w:r>
      <w:r w:rsidRPr="00D515A6">
        <w:rPr>
          <w:lang w:eastAsia="pl-PL"/>
        </w:rPr>
        <w:t xml:space="preserve">wyrazi zgodę na wydzielenie z części 17 pozycji 7,14,15,16,17,18,19, co </w:t>
      </w:r>
      <w:proofErr w:type="spellStart"/>
      <w:r w:rsidRPr="00D515A6">
        <w:rPr>
          <w:lang w:eastAsia="pl-PL"/>
        </w:rPr>
        <w:t>umozliwi</w:t>
      </w:r>
      <w:proofErr w:type="spellEnd"/>
      <w:r w:rsidRPr="00D515A6">
        <w:rPr>
          <w:lang w:eastAsia="pl-PL"/>
        </w:rPr>
        <w:t xml:space="preserve"> na złożenie ofert większej liczbie oferentów?</w:t>
      </w:r>
    </w:p>
    <w:p w:rsidR="005C0151" w:rsidRPr="00D515A6" w:rsidRDefault="005C0151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  <w:r w:rsidRPr="00D515A6">
        <w:rPr>
          <w:lang w:eastAsia="pl-PL"/>
        </w:rPr>
        <w:t>Odp.: Zamawiający nie wyraża zgody</w:t>
      </w:r>
    </w:p>
    <w:p w:rsidR="000304A5" w:rsidRPr="00D515A6" w:rsidRDefault="000304A5" w:rsidP="000304A5">
      <w:pPr>
        <w:suppressAutoHyphens w:val="0"/>
        <w:spacing w:after="200" w:line="276" w:lineRule="auto"/>
      </w:pPr>
      <w:r w:rsidRPr="00D515A6">
        <w:rPr>
          <w:lang w:eastAsia="pl-PL"/>
        </w:rPr>
        <w:t>10.</w:t>
      </w:r>
      <w:r w:rsidR="00431268" w:rsidRPr="00D515A6">
        <w:rPr>
          <w:lang w:eastAsia="pl-PL"/>
        </w:rPr>
        <w:t> </w:t>
      </w:r>
      <w:r w:rsidRPr="00D515A6">
        <w:t xml:space="preserve">Czy z uwagi na umieszczenie w SIWZ nazwy własnej środka spożywczego specjalnego przeznaczenia medycznego będącej zastrzeżonym znakiem towarowym konkretnego wytwórcy, Zamawiający dopuści zaoferowanie równoważnego produktu </w:t>
      </w:r>
      <w:proofErr w:type="spellStart"/>
      <w:r w:rsidRPr="00D515A6">
        <w:t>LactoDr</w:t>
      </w:r>
      <w:proofErr w:type="spellEnd"/>
      <w:r w:rsidRPr="00D515A6">
        <w:t xml:space="preserve">, zawierającego żywe, liofilizowane kultury bakterii </w:t>
      </w:r>
      <w:proofErr w:type="spellStart"/>
      <w:r w:rsidRPr="00D515A6">
        <w:t>probiotycznych</w:t>
      </w:r>
      <w:proofErr w:type="spellEnd"/>
      <w:r w:rsidRPr="00D515A6">
        <w:t xml:space="preserve"> tego samego szczepu </w:t>
      </w:r>
      <w:proofErr w:type="spellStart"/>
      <w:r w:rsidRPr="00D515A6">
        <w:t>Lactobacillus</w:t>
      </w:r>
      <w:proofErr w:type="spellEnd"/>
      <w:r w:rsidRPr="00D515A6">
        <w:t xml:space="preserve"> </w:t>
      </w:r>
      <w:proofErr w:type="spellStart"/>
      <w:r w:rsidRPr="00D515A6">
        <w:t>rhamnosus</w:t>
      </w:r>
      <w:proofErr w:type="spellEnd"/>
      <w:r w:rsidRPr="00D515A6">
        <w:t xml:space="preserve"> GG ATTC53103 w identycznym stężeniu 6 mld CFU/ kaps? </w:t>
      </w:r>
      <w:r w:rsidRPr="00D515A6">
        <w:lastRenderedPageBreak/>
        <w:t>Produkt konfekcjonowany w opakowaniach x 20 lub x 30 kapsułek (prosimy o możliwość przeliczenia na odpowiednią liczbę opakowań i zaokrąglenia uzyskanego wyniku w górę).</w:t>
      </w:r>
    </w:p>
    <w:p w:rsidR="005C0151" w:rsidRPr="00D515A6" w:rsidRDefault="005C0151" w:rsidP="000304A5">
      <w:pPr>
        <w:suppressAutoHyphens w:val="0"/>
        <w:spacing w:after="200" w:line="276" w:lineRule="auto"/>
      </w:pPr>
      <w:r w:rsidRPr="00D515A6">
        <w:t xml:space="preserve">Odp.: Zamawiający </w:t>
      </w:r>
      <w:r w:rsidR="00D515A6" w:rsidRPr="00D515A6">
        <w:t>dopuszcza</w:t>
      </w:r>
    </w:p>
    <w:p w:rsidR="000304A5" w:rsidRPr="00D515A6" w:rsidRDefault="000304A5" w:rsidP="000304A5">
      <w:pPr>
        <w:suppressAutoHyphens w:val="0"/>
        <w:spacing w:after="200" w:line="276" w:lineRule="auto"/>
      </w:pPr>
      <w:r w:rsidRPr="00D515A6">
        <w:t xml:space="preserve">11.Czy Zamawiający dopuści zaoferowanie produktu </w:t>
      </w:r>
      <w:proofErr w:type="spellStart"/>
      <w:r w:rsidRPr="00D515A6">
        <w:t>EncapsaDr</w:t>
      </w:r>
      <w:proofErr w:type="spellEnd"/>
      <w:r w:rsidRPr="00D515A6">
        <w:t xml:space="preserve">. zawierającego żywe, </w:t>
      </w:r>
      <w:proofErr w:type="spellStart"/>
      <w:r w:rsidRPr="00D515A6">
        <w:t>mikroenkapsulowane</w:t>
      </w:r>
      <w:proofErr w:type="spellEnd"/>
      <w:r w:rsidRPr="00D515A6">
        <w:t xml:space="preserve"> bakterie </w:t>
      </w:r>
      <w:proofErr w:type="spellStart"/>
      <w:r w:rsidRPr="00D515A6">
        <w:t>probiotyczne</w:t>
      </w:r>
      <w:proofErr w:type="spellEnd"/>
      <w:r w:rsidRPr="00D515A6">
        <w:t xml:space="preserve"> szczepu bakterii </w:t>
      </w:r>
      <w:proofErr w:type="spellStart"/>
      <w:r w:rsidRPr="00D515A6">
        <w:t>probiotycznych</w:t>
      </w:r>
      <w:proofErr w:type="spellEnd"/>
      <w:r w:rsidRPr="00D515A6">
        <w:t xml:space="preserve"> </w:t>
      </w:r>
      <w:proofErr w:type="spellStart"/>
      <w:r w:rsidRPr="00D515A6">
        <w:t>Lactobacillus</w:t>
      </w:r>
      <w:proofErr w:type="spellEnd"/>
      <w:r w:rsidRPr="00D515A6">
        <w:t xml:space="preserve"> </w:t>
      </w:r>
      <w:proofErr w:type="spellStart"/>
      <w:r w:rsidRPr="00D515A6">
        <w:t>rhamnosus</w:t>
      </w:r>
      <w:proofErr w:type="spellEnd"/>
      <w:r w:rsidRPr="00D515A6">
        <w:t xml:space="preserve"> GG ATTC53103 w stężeniu odpowiadającym 6 mld bakterii? </w:t>
      </w:r>
    </w:p>
    <w:p w:rsidR="00D515A6" w:rsidRPr="00D515A6" w:rsidRDefault="00D515A6" w:rsidP="000304A5">
      <w:pPr>
        <w:suppressAutoHyphens w:val="0"/>
        <w:spacing w:after="200" w:line="276" w:lineRule="auto"/>
      </w:pPr>
      <w:r w:rsidRPr="00D515A6">
        <w:t xml:space="preserve">Odp.: Zgodnie z </w:t>
      </w:r>
      <w:proofErr w:type="spellStart"/>
      <w:r w:rsidRPr="00D515A6">
        <w:t>siwz</w:t>
      </w:r>
      <w:proofErr w:type="spellEnd"/>
    </w:p>
    <w:p w:rsidR="000304A5" w:rsidRPr="00D515A6" w:rsidRDefault="000304A5" w:rsidP="000304A5">
      <w:pPr>
        <w:suppressAutoHyphens w:val="0"/>
        <w:spacing w:after="200" w:line="276" w:lineRule="auto"/>
      </w:pPr>
      <w:r w:rsidRPr="00D515A6">
        <w:t xml:space="preserve">12.Czy Zamawiający wymaga zaoferowania produktu zawierającego żywe kultury bakterii </w:t>
      </w:r>
      <w:proofErr w:type="spellStart"/>
      <w:r w:rsidRPr="00D515A6">
        <w:t>probiotycznych</w:t>
      </w:r>
      <w:proofErr w:type="spellEnd"/>
      <w:r w:rsidRPr="00D515A6">
        <w:t xml:space="preserve"> w formie </w:t>
      </w:r>
      <w:proofErr w:type="spellStart"/>
      <w:r w:rsidRPr="00D515A6">
        <w:t>liofilizatu</w:t>
      </w:r>
      <w:proofErr w:type="spellEnd"/>
      <w:r w:rsidRPr="00D515A6">
        <w:t>?</w:t>
      </w:r>
    </w:p>
    <w:p w:rsidR="00D515A6" w:rsidRPr="00D515A6" w:rsidRDefault="00D515A6" w:rsidP="000304A5">
      <w:pPr>
        <w:suppressAutoHyphens w:val="0"/>
        <w:spacing w:after="200" w:line="276" w:lineRule="auto"/>
      </w:pPr>
      <w:r w:rsidRPr="00D515A6">
        <w:t>Odp.; Zamawiający dopuszcza</w:t>
      </w:r>
    </w:p>
    <w:p w:rsidR="000304A5" w:rsidRPr="00D515A6" w:rsidRDefault="000304A5" w:rsidP="000304A5">
      <w:r w:rsidRPr="00D515A6">
        <w:t>1</w:t>
      </w:r>
      <w:r w:rsidR="005C0151" w:rsidRPr="00D515A6">
        <w:t>3</w:t>
      </w:r>
      <w:r w:rsidRPr="00D515A6">
        <w:t>. Do treści art. 4 ust. 1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art. 4 ust. 1 wzoru umowy następującej treści: "Dostawy produktów z krótszym terminem ważności mogą być dopuszczone w wyjątkowych sytuacjach i każdorazowo zgodę na nie musi wyrazić upoważniony przedstawiciel Zamawiającego."</w:t>
      </w:r>
    </w:p>
    <w:p w:rsidR="00D515A6" w:rsidRPr="00D515A6" w:rsidRDefault="00D515A6" w:rsidP="000304A5">
      <w:r w:rsidRPr="00D515A6">
        <w:t xml:space="preserve">Odp.: Zgodnie z </w:t>
      </w:r>
      <w:proofErr w:type="spellStart"/>
      <w:r w:rsidRPr="00D515A6">
        <w:t>siwz</w:t>
      </w:r>
      <w:proofErr w:type="spellEnd"/>
    </w:p>
    <w:p w:rsidR="000304A5" w:rsidRPr="00D515A6" w:rsidRDefault="000304A5" w:rsidP="000304A5"/>
    <w:p w:rsidR="000304A5" w:rsidRPr="00D515A6" w:rsidRDefault="005C0151" w:rsidP="000304A5">
      <w:r w:rsidRPr="00D515A6">
        <w:t>14</w:t>
      </w:r>
      <w:r w:rsidR="000304A5" w:rsidRPr="00D515A6">
        <w:t>. Do treści art. 5 ust. 1 wzoru umowy. Czy Zamawiający wyrazi zgodę na obniżenie wymiaru kary za opóźnienie w dostawie lub wymianie reklamacyjnej do wysokości 0,5% wartości niezrealizowanej części zamówienia brutto dziennie?</w:t>
      </w:r>
    </w:p>
    <w:p w:rsidR="000304A5" w:rsidRPr="00D515A6" w:rsidRDefault="00D515A6" w:rsidP="000304A5">
      <w:r w:rsidRPr="00D515A6">
        <w:t xml:space="preserve">Odp.: Zgodnie z </w:t>
      </w:r>
      <w:proofErr w:type="spellStart"/>
      <w:r w:rsidRPr="00D515A6">
        <w:t>siwz</w:t>
      </w:r>
      <w:proofErr w:type="spellEnd"/>
    </w:p>
    <w:p w:rsidR="000304A5" w:rsidRPr="00D515A6" w:rsidRDefault="005C0151" w:rsidP="000304A5">
      <w:r w:rsidRPr="00D515A6">
        <w:t>15</w:t>
      </w:r>
      <w:r w:rsidR="000304A5" w:rsidRPr="00D515A6">
        <w:t>. Do treści art. 5 ust. 2 wzoru umowy. Czy Zamawiający wyrazi zgodę na zmianę zapisu o ewentualnej karze umownej za rozwiązanie umowy poprzez zapis o karze w wysokości 10%, ale liczonej od wartości NIEZREALIZOWANEJ części umowy brutto?</w:t>
      </w:r>
    </w:p>
    <w:p w:rsidR="00D515A6" w:rsidRPr="00D515A6" w:rsidRDefault="00D515A6" w:rsidP="000304A5">
      <w:pPr>
        <w:rPr>
          <w:rFonts w:eastAsiaTheme="minorHAnsi"/>
        </w:rPr>
      </w:pPr>
      <w:r w:rsidRPr="00D515A6">
        <w:t xml:space="preserve">Odp.: Zgodnie z </w:t>
      </w:r>
      <w:proofErr w:type="spellStart"/>
      <w:r w:rsidRPr="00D515A6">
        <w:t>siwz</w:t>
      </w:r>
      <w:proofErr w:type="spellEnd"/>
    </w:p>
    <w:p w:rsidR="00D515A6" w:rsidRPr="00D515A6" w:rsidRDefault="00D515A6" w:rsidP="005C0151">
      <w:pPr>
        <w:suppressAutoHyphens w:val="0"/>
        <w:spacing w:line="480" w:lineRule="auto"/>
        <w:jc w:val="both"/>
        <w:rPr>
          <w:color w:val="000000"/>
          <w:lang w:eastAsia="pl-PL"/>
        </w:rPr>
      </w:pPr>
    </w:p>
    <w:p w:rsidR="005C0151" w:rsidRPr="00D515A6" w:rsidRDefault="005C0151" w:rsidP="005C0151">
      <w:pPr>
        <w:suppressAutoHyphens w:val="0"/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16.Pytanie do pakietu 8 pozycji 11</w:t>
      </w:r>
    </w:p>
    <w:p w:rsidR="005C0151" w:rsidRPr="00D515A6" w:rsidRDefault="005C0151" w:rsidP="005C0151">
      <w:pPr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Czy Zamawiający zgodzi się na opakowanie 4x200ml, które jest jednostka sprzedażową?</w:t>
      </w:r>
    </w:p>
    <w:p w:rsidR="00D515A6" w:rsidRPr="00D515A6" w:rsidRDefault="00D515A6" w:rsidP="005C0151">
      <w:pPr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Odp.: Zamawiający dopuszcza</w:t>
      </w:r>
    </w:p>
    <w:p w:rsidR="005C0151" w:rsidRPr="00D515A6" w:rsidRDefault="005C0151" w:rsidP="005C0151">
      <w:pPr>
        <w:suppressAutoHyphens w:val="0"/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17.Pytanie do pakietu 8 pozycji 4, 5, 6, 7, 8,9 oraz 10</w:t>
      </w:r>
    </w:p>
    <w:p w:rsidR="005C0151" w:rsidRPr="00D515A6" w:rsidRDefault="005C0151" w:rsidP="005C0151">
      <w:pPr>
        <w:spacing w:line="36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 xml:space="preserve">Czy w związku ze zmianą opakowania miękkiego worek (typu </w:t>
      </w:r>
      <w:proofErr w:type="spellStart"/>
      <w:r w:rsidRPr="00D515A6">
        <w:rPr>
          <w:color w:val="000000"/>
          <w:lang w:eastAsia="pl-PL"/>
        </w:rPr>
        <w:t>Pack</w:t>
      </w:r>
      <w:proofErr w:type="spellEnd"/>
      <w:r w:rsidRPr="00D515A6">
        <w:rPr>
          <w:color w:val="000000"/>
          <w:lang w:eastAsia="pl-PL"/>
        </w:rPr>
        <w:t xml:space="preserve">) na butelkę typu </w:t>
      </w:r>
      <w:proofErr w:type="spellStart"/>
      <w:r w:rsidRPr="00D515A6">
        <w:rPr>
          <w:color w:val="000000"/>
          <w:lang w:eastAsia="pl-PL"/>
        </w:rPr>
        <w:t>Optri</w:t>
      </w:r>
      <w:proofErr w:type="spellEnd"/>
      <w:r w:rsidRPr="00D515A6">
        <w:rPr>
          <w:color w:val="000000"/>
          <w:lang w:eastAsia="pl-PL"/>
        </w:rPr>
        <w:t xml:space="preserve">, Zamawiający dopuści diety w butelce? Diety w worku nie są już sprzedawane. </w:t>
      </w:r>
    </w:p>
    <w:p w:rsidR="005C0151" w:rsidRPr="00D515A6" w:rsidRDefault="005C0151" w:rsidP="005C0151">
      <w:pPr>
        <w:spacing w:line="36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 xml:space="preserve">Zmian opakowania podyktowana jest ochroną środowiska jak również wygodą użytkowników. Nowe opakowanie </w:t>
      </w:r>
      <w:proofErr w:type="spellStart"/>
      <w:r w:rsidRPr="00D515A6">
        <w:rPr>
          <w:color w:val="000000"/>
          <w:lang w:eastAsia="pl-PL"/>
        </w:rPr>
        <w:t>OpTri</w:t>
      </w:r>
      <w:proofErr w:type="spellEnd"/>
      <w:r w:rsidRPr="00D515A6">
        <w:rPr>
          <w:color w:val="000000"/>
          <w:lang w:eastAsia="pl-PL"/>
        </w:rPr>
        <w:t xml:space="preserve"> dzięki odpowiedniej nakrętce umożliwia podaż diet </w:t>
      </w:r>
      <w:r w:rsidRPr="00D515A6">
        <w:rPr>
          <w:color w:val="000000"/>
          <w:lang w:eastAsia="pl-PL"/>
        </w:rPr>
        <w:lastRenderedPageBreak/>
        <w:t xml:space="preserve">przy użyciu zestawów </w:t>
      </w:r>
      <w:proofErr w:type="spellStart"/>
      <w:r w:rsidRPr="00D515A6">
        <w:rPr>
          <w:color w:val="000000"/>
          <w:lang w:eastAsia="pl-PL"/>
        </w:rPr>
        <w:t>Flocare</w:t>
      </w:r>
      <w:proofErr w:type="spellEnd"/>
      <w:r w:rsidRPr="00D515A6">
        <w:rPr>
          <w:color w:val="000000"/>
          <w:lang w:eastAsia="pl-PL"/>
        </w:rPr>
        <w:t xml:space="preserve"> do worków, do butelek oraz zestawu uniwersalnego do worków i butelek.</w:t>
      </w:r>
    </w:p>
    <w:p w:rsidR="00D515A6" w:rsidRPr="00D515A6" w:rsidRDefault="00D515A6" w:rsidP="005C0151">
      <w:pPr>
        <w:spacing w:line="36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Odp.: Zamawiający dopuszcza</w:t>
      </w:r>
    </w:p>
    <w:p w:rsidR="005C0151" w:rsidRPr="00D515A6" w:rsidRDefault="005C0151" w:rsidP="005C0151">
      <w:pPr>
        <w:suppressAutoHyphens w:val="0"/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18.Pytanie do pakietu 10 pozycji 5</w:t>
      </w:r>
    </w:p>
    <w:p w:rsidR="005C0151" w:rsidRPr="00D515A6" w:rsidRDefault="005C0151" w:rsidP="005C0151">
      <w:pPr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 xml:space="preserve">Czy Zamawiający zgodzi się na opakowanie zbiorcze 48 </w:t>
      </w:r>
      <w:proofErr w:type="spellStart"/>
      <w:r w:rsidRPr="00D515A6">
        <w:rPr>
          <w:color w:val="000000"/>
          <w:lang w:eastAsia="pl-PL"/>
        </w:rPr>
        <w:t>szt</w:t>
      </w:r>
      <w:proofErr w:type="spellEnd"/>
      <w:r w:rsidRPr="00D515A6">
        <w:rPr>
          <w:color w:val="000000"/>
          <w:lang w:eastAsia="pl-PL"/>
        </w:rPr>
        <w:t>, które jest jednostka sprzedażową?</w:t>
      </w:r>
    </w:p>
    <w:p w:rsidR="00D515A6" w:rsidRPr="00D515A6" w:rsidRDefault="00D515A6" w:rsidP="005C0151">
      <w:pPr>
        <w:spacing w:line="480" w:lineRule="auto"/>
        <w:jc w:val="both"/>
        <w:rPr>
          <w:color w:val="000000"/>
          <w:lang w:eastAsia="pl-PL"/>
        </w:rPr>
      </w:pPr>
      <w:r w:rsidRPr="00D515A6">
        <w:rPr>
          <w:color w:val="000000"/>
          <w:lang w:eastAsia="pl-PL"/>
        </w:rPr>
        <w:t>Odp.: Zamawiający dopuszcza z odpowiednim przeliczeniem zamawianych ilości</w:t>
      </w:r>
    </w:p>
    <w:p w:rsidR="00431268" w:rsidRPr="00D515A6" w:rsidRDefault="00431268" w:rsidP="00431268">
      <w:pPr>
        <w:suppressAutoHyphens w:val="0"/>
        <w:autoSpaceDE w:val="0"/>
        <w:autoSpaceDN w:val="0"/>
        <w:spacing w:before="100" w:beforeAutospacing="1" w:after="100" w:afterAutospacing="1"/>
        <w:rPr>
          <w:lang w:eastAsia="pl-PL"/>
        </w:rPr>
      </w:pPr>
    </w:p>
    <w:p w:rsidR="000A73AC" w:rsidRPr="00D515A6" w:rsidRDefault="00431268" w:rsidP="00D515A6">
      <w:pPr>
        <w:suppressAutoHyphens w:val="0"/>
        <w:autoSpaceDE w:val="0"/>
        <w:autoSpaceDN w:val="0"/>
        <w:spacing w:before="100" w:beforeAutospacing="1" w:after="100" w:afterAutospacing="1"/>
        <w:jc w:val="right"/>
        <w:rPr>
          <w:lang w:eastAsia="pl-PL"/>
        </w:rPr>
      </w:pPr>
      <w:r w:rsidRPr="00D515A6">
        <w:rPr>
          <w:lang w:eastAsia="pl-PL"/>
        </w:rPr>
        <w:t> </w:t>
      </w:r>
      <w:r w:rsidR="00EE3706" w:rsidRPr="00D515A6">
        <w:rPr>
          <w:lang w:eastAsia="pl-PL"/>
        </w:rPr>
        <w:t>Z</w:t>
      </w:r>
      <w:r w:rsidR="000A73AC" w:rsidRPr="00D515A6">
        <w:rPr>
          <w:lang w:eastAsia="pl-PL"/>
        </w:rPr>
        <w:t>amawiający</w:t>
      </w:r>
    </w:p>
    <w:p w:rsidR="00690C20" w:rsidRPr="00D515A6" w:rsidRDefault="00690C20" w:rsidP="00690C20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> </w:t>
      </w:r>
    </w:p>
    <w:p w:rsidR="00690C20" w:rsidRPr="00D515A6" w:rsidRDefault="00690C20" w:rsidP="008135B4">
      <w:pPr>
        <w:autoSpaceDE w:val="0"/>
        <w:autoSpaceDN w:val="0"/>
        <w:adjustRightInd w:val="0"/>
        <w:spacing w:line="276" w:lineRule="auto"/>
        <w:rPr>
          <w:rFonts w:eastAsiaTheme="minorEastAsia"/>
          <w:lang w:eastAsia="zh-TW"/>
        </w:rPr>
      </w:pPr>
    </w:p>
    <w:p w:rsidR="008135B4" w:rsidRPr="00D515A6" w:rsidRDefault="008135B4" w:rsidP="008135B4">
      <w:pPr>
        <w:autoSpaceDE w:val="0"/>
        <w:autoSpaceDN w:val="0"/>
        <w:adjustRightInd w:val="0"/>
        <w:jc w:val="right"/>
        <w:rPr>
          <w:rFonts w:eastAsiaTheme="minorEastAsia"/>
          <w:lang w:eastAsia="zh-TW"/>
        </w:rPr>
      </w:pPr>
    </w:p>
    <w:p w:rsidR="006F6E9F" w:rsidRPr="00D515A6" w:rsidRDefault="006F6E9F" w:rsidP="009C3907"/>
    <w:p w:rsidR="003C37D9" w:rsidRPr="00D515A6" w:rsidRDefault="003C37D9"/>
    <w:p w:rsidR="00100FE1" w:rsidRPr="00D515A6" w:rsidRDefault="00100FE1"/>
    <w:p w:rsidR="00926BD3" w:rsidRPr="00D515A6" w:rsidRDefault="00926BD3" w:rsidP="00100FE1">
      <w:pPr>
        <w:jc w:val="right"/>
      </w:pPr>
    </w:p>
    <w:p w:rsidR="00926BD3" w:rsidRPr="00D515A6" w:rsidRDefault="00926BD3" w:rsidP="00100FE1">
      <w:pPr>
        <w:jc w:val="right"/>
      </w:pPr>
    </w:p>
    <w:p w:rsidR="000A7053" w:rsidRPr="00D515A6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2D1"/>
    <w:multiLevelType w:val="multilevel"/>
    <w:tmpl w:val="927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43B8B"/>
    <w:multiLevelType w:val="hybridMultilevel"/>
    <w:tmpl w:val="0B7E1A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96150"/>
    <w:multiLevelType w:val="multilevel"/>
    <w:tmpl w:val="2C9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7770B"/>
    <w:multiLevelType w:val="hybridMultilevel"/>
    <w:tmpl w:val="2C32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100FE1"/>
    <w:rsid w:val="000101F8"/>
    <w:rsid w:val="000221F9"/>
    <w:rsid w:val="000304A5"/>
    <w:rsid w:val="00077003"/>
    <w:rsid w:val="000A7053"/>
    <w:rsid w:val="000A73AC"/>
    <w:rsid w:val="000B2754"/>
    <w:rsid w:val="000B4000"/>
    <w:rsid w:val="00100FE1"/>
    <w:rsid w:val="00107180"/>
    <w:rsid w:val="00115D36"/>
    <w:rsid w:val="00144144"/>
    <w:rsid w:val="00157796"/>
    <w:rsid w:val="001B4C41"/>
    <w:rsid w:val="001F18D8"/>
    <w:rsid w:val="002413A8"/>
    <w:rsid w:val="00252036"/>
    <w:rsid w:val="002E482B"/>
    <w:rsid w:val="00306752"/>
    <w:rsid w:val="003374D0"/>
    <w:rsid w:val="003556A3"/>
    <w:rsid w:val="00373BAF"/>
    <w:rsid w:val="00381E39"/>
    <w:rsid w:val="003830CB"/>
    <w:rsid w:val="0039734F"/>
    <w:rsid w:val="003C356A"/>
    <w:rsid w:val="003C37D9"/>
    <w:rsid w:val="00401174"/>
    <w:rsid w:val="00431268"/>
    <w:rsid w:val="00433522"/>
    <w:rsid w:val="00484B93"/>
    <w:rsid w:val="004A0876"/>
    <w:rsid w:val="004D3C66"/>
    <w:rsid w:val="004F4C4E"/>
    <w:rsid w:val="00514698"/>
    <w:rsid w:val="0052547E"/>
    <w:rsid w:val="005445CF"/>
    <w:rsid w:val="005603D1"/>
    <w:rsid w:val="00564FB6"/>
    <w:rsid w:val="005C0151"/>
    <w:rsid w:val="005D63AF"/>
    <w:rsid w:val="00657612"/>
    <w:rsid w:val="00673FE3"/>
    <w:rsid w:val="00690C20"/>
    <w:rsid w:val="006A7317"/>
    <w:rsid w:val="006D07FA"/>
    <w:rsid w:val="006F2936"/>
    <w:rsid w:val="006F6E9F"/>
    <w:rsid w:val="00735A4E"/>
    <w:rsid w:val="00743E9D"/>
    <w:rsid w:val="007441A3"/>
    <w:rsid w:val="00766673"/>
    <w:rsid w:val="007E2CC1"/>
    <w:rsid w:val="007F44B0"/>
    <w:rsid w:val="00806C73"/>
    <w:rsid w:val="008135B4"/>
    <w:rsid w:val="00880FFA"/>
    <w:rsid w:val="008A1A4A"/>
    <w:rsid w:val="008B1154"/>
    <w:rsid w:val="00920625"/>
    <w:rsid w:val="00926BD3"/>
    <w:rsid w:val="0093388F"/>
    <w:rsid w:val="00937572"/>
    <w:rsid w:val="009519DB"/>
    <w:rsid w:val="00982730"/>
    <w:rsid w:val="009A28FB"/>
    <w:rsid w:val="009C3907"/>
    <w:rsid w:val="009D02A9"/>
    <w:rsid w:val="009D17DD"/>
    <w:rsid w:val="009D623C"/>
    <w:rsid w:val="009F7AB0"/>
    <w:rsid w:val="00AA769A"/>
    <w:rsid w:val="00AE6013"/>
    <w:rsid w:val="00AF1D4F"/>
    <w:rsid w:val="00AF7050"/>
    <w:rsid w:val="00B00543"/>
    <w:rsid w:val="00B21F83"/>
    <w:rsid w:val="00B3621C"/>
    <w:rsid w:val="00BD7046"/>
    <w:rsid w:val="00C150F5"/>
    <w:rsid w:val="00C35EF1"/>
    <w:rsid w:val="00C71128"/>
    <w:rsid w:val="00C97389"/>
    <w:rsid w:val="00CB19A5"/>
    <w:rsid w:val="00CE0EF8"/>
    <w:rsid w:val="00CE4BA0"/>
    <w:rsid w:val="00CF4AFA"/>
    <w:rsid w:val="00D366C5"/>
    <w:rsid w:val="00D515A6"/>
    <w:rsid w:val="00D75BD9"/>
    <w:rsid w:val="00DC78F0"/>
    <w:rsid w:val="00DE1464"/>
    <w:rsid w:val="00DE79C3"/>
    <w:rsid w:val="00E04AC7"/>
    <w:rsid w:val="00E43836"/>
    <w:rsid w:val="00E45D38"/>
    <w:rsid w:val="00E760C8"/>
    <w:rsid w:val="00EA09DF"/>
    <w:rsid w:val="00EA3CC3"/>
    <w:rsid w:val="00EE3706"/>
    <w:rsid w:val="00EE3EC5"/>
    <w:rsid w:val="00EF118F"/>
    <w:rsid w:val="00EF643B"/>
    <w:rsid w:val="00EF7D20"/>
    <w:rsid w:val="00F23329"/>
    <w:rsid w:val="00F9041B"/>
    <w:rsid w:val="00FA77B5"/>
    <w:rsid w:val="00FB0D18"/>
    <w:rsid w:val="00FC561E"/>
    <w:rsid w:val="00FD010C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560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2020-09-09T11:21:00Z</dcterms:created>
  <dcterms:modified xsi:type="dcterms:W3CDTF">2020-09-09T11:21:00Z</dcterms:modified>
</cp:coreProperties>
</file>