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87" w:rsidRPr="008A710D" w:rsidRDefault="00307587" w:rsidP="008A710D">
      <w:pPr>
        <w:pStyle w:val="Nagwek2"/>
        <w:jc w:val="right"/>
        <w:rPr>
          <w:color w:val="auto"/>
          <w:sz w:val="20"/>
          <w:szCs w:val="20"/>
        </w:rPr>
      </w:pPr>
      <w:r w:rsidRPr="008A710D">
        <w:rPr>
          <w:color w:val="auto"/>
          <w:sz w:val="20"/>
          <w:szCs w:val="20"/>
        </w:rPr>
        <w:t xml:space="preserve">Załącznik nr 2 </w:t>
      </w:r>
      <w:r w:rsidR="001321BD">
        <w:rPr>
          <w:color w:val="auto"/>
          <w:sz w:val="20"/>
          <w:szCs w:val="20"/>
          <w:lang w:val="pl-PL"/>
        </w:rPr>
        <w:t>do ogłoszenia</w:t>
      </w:r>
    </w:p>
    <w:p w:rsidR="00307587" w:rsidRDefault="00307587">
      <w:pPr>
        <w:pStyle w:val="Nagwek2"/>
        <w:rPr>
          <w:color w:val="auto"/>
        </w:rPr>
      </w:pPr>
    </w:p>
    <w:p w:rsidR="00307587" w:rsidRPr="00B204E3" w:rsidRDefault="00DE3184" w:rsidP="00B204E3">
      <w:pPr>
        <w:pStyle w:val="Nagwek2"/>
        <w:rPr>
          <w:color w:val="auto"/>
        </w:rPr>
      </w:pPr>
      <w:r>
        <w:rPr>
          <w:color w:val="auto"/>
          <w:lang w:val="pl-PL"/>
        </w:rPr>
        <w:t xml:space="preserve">Zadanie nr 1 - </w:t>
      </w:r>
      <w:r w:rsidR="001570AF">
        <w:rPr>
          <w:color w:val="auto"/>
          <w:lang w:val="pl-PL"/>
        </w:rPr>
        <w:t>Środki do czyszczenia i pielęgnacji powierzchni</w:t>
      </w:r>
      <w:r w:rsidR="00307587" w:rsidRPr="00B204E3">
        <w:rPr>
          <w:color w:val="auto"/>
        </w:rPr>
        <w:t xml:space="preserve"> – FORMULARZ CENOWY    </w:t>
      </w:r>
    </w:p>
    <w:p w:rsidR="000B7962" w:rsidRDefault="000B7962">
      <w:pPr>
        <w:rPr>
          <w:b/>
          <w:bCs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4"/>
        <w:gridCol w:w="708"/>
        <w:gridCol w:w="709"/>
        <w:gridCol w:w="1134"/>
        <w:gridCol w:w="1134"/>
        <w:gridCol w:w="709"/>
        <w:gridCol w:w="1276"/>
        <w:gridCol w:w="992"/>
        <w:gridCol w:w="1417"/>
      </w:tblGrid>
      <w:tr w:rsidR="001570AF" w:rsidRPr="00DC6D56" w:rsidTr="007859D6">
        <w:tc>
          <w:tcPr>
            <w:tcW w:w="534" w:type="dxa"/>
          </w:tcPr>
          <w:p w:rsidR="001570AF" w:rsidRPr="001570AF" w:rsidRDefault="001570AF" w:rsidP="00A27F73">
            <w:pPr>
              <w:rPr>
                <w:b/>
                <w:sz w:val="18"/>
              </w:rPr>
            </w:pPr>
            <w:r w:rsidRPr="001570AF">
              <w:rPr>
                <w:b/>
                <w:sz w:val="18"/>
              </w:rPr>
              <w:t>Lp.</w:t>
            </w:r>
          </w:p>
        </w:tc>
        <w:tc>
          <w:tcPr>
            <w:tcW w:w="6804" w:type="dxa"/>
          </w:tcPr>
          <w:p w:rsidR="001570AF" w:rsidRPr="001570AF" w:rsidRDefault="001570AF" w:rsidP="00A27F73">
            <w:pPr>
              <w:rPr>
                <w:b/>
                <w:sz w:val="18"/>
              </w:rPr>
            </w:pPr>
            <w:r w:rsidRPr="001570AF">
              <w:rPr>
                <w:b/>
                <w:sz w:val="18"/>
              </w:rPr>
              <w:t>Opis przedmiotu zamówienia</w:t>
            </w:r>
          </w:p>
        </w:tc>
        <w:tc>
          <w:tcPr>
            <w:tcW w:w="708" w:type="dxa"/>
          </w:tcPr>
          <w:p w:rsidR="001570AF" w:rsidRPr="001570AF" w:rsidRDefault="001570AF" w:rsidP="00A27F73">
            <w:pPr>
              <w:rPr>
                <w:b/>
                <w:sz w:val="18"/>
              </w:rPr>
            </w:pPr>
            <w:r w:rsidRPr="001570AF">
              <w:rPr>
                <w:b/>
                <w:sz w:val="18"/>
              </w:rPr>
              <w:t>j.m.</w:t>
            </w:r>
          </w:p>
        </w:tc>
        <w:tc>
          <w:tcPr>
            <w:tcW w:w="709" w:type="dxa"/>
          </w:tcPr>
          <w:p w:rsidR="001570AF" w:rsidRPr="001570AF" w:rsidRDefault="001570AF" w:rsidP="00A27F73">
            <w:pPr>
              <w:rPr>
                <w:b/>
                <w:sz w:val="18"/>
              </w:rPr>
            </w:pPr>
            <w:r w:rsidRPr="001570AF">
              <w:rPr>
                <w:b/>
                <w:sz w:val="18"/>
              </w:rPr>
              <w:t>Ilość</w:t>
            </w:r>
          </w:p>
        </w:tc>
        <w:tc>
          <w:tcPr>
            <w:tcW w:w="1134" w:type="dxa"/>
          </w:tcPr>
          <w:p w:rsidR="001570AF" w:rsidRPr="001570AF" w:rsidRDefault="001570AF" w:rsidP="00A27F73">
            <w:pPr>
              <w:rPr>
                <w:b/>
                <w:sz w:val="18"/>
              </w:rPr>
            </w:pPr>
            <w:r w:rsidRPr="001570AF">
              <w:rPr>
                <w:b/>
                <w:sz w:val="18"/>
              </w:rPr>
              <w:t>Cena jednostkowa netto</w:t>
            </w:r>
          </w:p>
        </w:tc>
        <w:tc>
          <w:tcPr>
            <w:tcW w:w="1134" w:type="dxa"/>
          </w:tcPr>
          <w:p w:rsidR="001570AF" w:rsidRPr="001570AF" w:rsidRDefault="001570AF" w:rsidP="00A27F73">
            <w:pPr>
              <w:rPr>
                <w:b/>
                <w:sz w:val="18"/>
              </w:rPr>
            </w:pPr>
            <w:r w:rsidRPr="001570AF">
              <w:rPr>
                <w:b/>
                <w:sz w:val="18"/>
              </w:rPr>
              <w:t>Wartość netto</w:t>
            </w:r>
          </w:p>
        </w:tc>
        <w:tc>
          <w:tcPr>
            <w:tcW w:w="709" w:type="dxa"/>
          </w:tcPr>
          <w:p w:rsidR="001570AF" w:rsidRPr="001570AF" w:rsidRDefault="001570AF" w:rsidP="00A27F73">
            <w:pPr>
              <w:rPr>
                <w:b/>
                <w:sz w:val="18"/>
              </w:rPr>
            </w:pPr>
            <w:r w:rsidRPr="001570AF">
              <w:rPr>
                <w:b/>
                <w:sz w:val="18"/>
              </w:rPr>
              <w:t>% VAT</w:t>
            </w:r>
          </w:p>
        </w:tc>
        <w:tc>
          <w:tcPr>
            <w:tcW w:w="1276" w:type="dxa"/>
          </w:tcPr>
          <w:p w:rsidR="001570AF" w:rsidRPr="001570AF" w:rsidRDefault="001570AF" w:rsidP="00A27F73">
            <w:pPr>
              <w:rPr>
                <w:b/>
                <w:sz w:val="18"/>
              </w:rPr>
            </w:pPr>
            <w:r w:rsidRPr="001570AF">
              <w:rPr>
                <w:b/>
                <w:sz w:val="18"/>
              </w:rPr>
              <w:t>Wartość VAT</w:t>
            </w:r>
          </w:p>
        </w:tc>
        <w:tc>
          <w:tcPr>
            <w:tcW w:w="992" w:type="dxa"/>
          </w:tcPr>
          <w:p w:rsidR="001570AF" w:rsidRPr="001570AF" w:rsidRDefault="001570AF" w:rsidP="00A27F73">
            <w:pPr>
              <w:rPr>
                <w:b/>
                <w:sz w:val="18"/>
              </w:rPr>
            </w:pPr>
            <w:r w:rsidRPr="001570AF">
              <w:rPr>
                <w:b/>
                <w:sz w:val="18"/>
              </w:rPr>
              <w:t>Wartość brutto</w:t>
            </w:r>
          </w:p>
        </w:tc>
        <w:tc>
          <w:tcPr>
            <w:tcW w:w="1417" w:type="dxa"/>
          </w:tcPr>
          <w:p w:rsidR="001570AF" w:rsidRPr="001570AF" w:rsidRDefault="001570AF" w:rsidP="00A27F73">
            <w:pPr>
              <w:rPr>
                <w:b/>
                <w:sz w:val="18"/>
              </w:rPr>
            </w:pPr>
            <w:r w:rsidRPr="001570AF">
              <w:rPr>
                <w:b/>
                <w:sz w:val="18"/>
              </w:rPr>
              <w:t>Nazwa oferowanego produktu/ Producent</w:t>
            </w:r>
          </w:p>
        </w:tc>
      </w:tr>
      <w:tr w:rsidR="001570AF" w:rsidRPr="00DC6D56" w:rsidTr="007859D6">
        <w:tc>
          <w:tcPr>
            <w:tcW w:w="534" w:type="dxa"/>
          </w:tcPr>
          <w:p w:rsidR="001570AF" w:rsidRPr="00DC6D56" w:rsidRDefault="001570AF" w:rsidP="00A27F73">
            <w:r w:rsidRPr="00DC6D56">
              <w:t>1.</w:t>
            </w:r>
          </w:p>
        </w:tc>
        <w:tc>
          <w:tcPr>
            <w:tcW w:w="6804" w:type="dxa"/>
          </w:tcPr>
          <w:p w:rsidR="001E3D02" w:rsidRPr="001E3D02" w:rsidRDefault="007859D6" w:rsidP="001E3D0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t xml:space="preserve">Środek do codziennego mycia i nabłyszczania podłóg wodoodpornych. Koncentrat o stężeniu 0,25 do 0,5 na 10L wody.  Zalecany do stosowania ręcznego i maszynowego. Preparat posiada certyfikat ESD. Zawierający 5-15% niejonowych środków powierzchniowo czynnych w postaci izotridekanolu moksyetylowanego oraz 1-5% polimerów akrylowych. Zalecany do codziennej pielęgnacji podłóg pokrytych środkami polimerowymi, którego stosowanie wydłuża żywotność powłoki. Pozostawiający przyjemny zapach. Produkt posiadający Gęstość koncentratu min 1045-max1055kg/m3. Stosowany w rozcieńczeniu 1:200 do 1:400. pH koncentratu 8,0-9,0. </w:t>
            </w:r>
            <w:r w:rsidRPr="007859D6">
              <w:rPr>
                <w:b/>
              </w:rPr>
              <w:t>Opakowania 10L</w:t>
            </w:r>
            <w:r>
              <w:t xml:space="preserve"> zawierające informację na temat pH koncentratu i zalecanych roztworów. Produkt posiadający Świadectwo Jakości Zdrowotnej</w:t>
            </w:r>
            <w:r w:rsidR="001570AF" w:rsidRPr="00DC6D56">
              <w:t xml:space="preserve">. </w:t>
            </w:r>
            <w:r w:rsidR="0072476C" w:rsidRPr="001E3D02">
              <w:rPr>
                <w:b/>
                <w:lang w:val="pl-PL"/>
              </w:rPr>
              <w:t>Wymagana ulotka i karta charakterystyki</w:t>
            </w:r>
            <w:r w:rsidR="001E3D02" w:rsidRPr="001E3D02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należy dołączyć do oferty</w:t>
            </w:r>
            <w:r w:rsidR="001E3D02" w:rsidRPr="001E3D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570AF" w:rsidRPr="00DC6D56" w:rsidRDefault="001570AF" w:rsidP="007859D6">
            <w:r w:rsidRPr="00DC6D56">
              <w:t xml:space="preserve"> </w:t>
            </w:r>
          </w:p>
        </w:tc>
        <w:tc>
          <w:tcPr>
            <w:tcW w:w="708" w:type="dxa"/>
          </w:tcPr>
          <w:p w:rsidR="001570AF" w:rsidRPr="00BC41E0" w:rsidRDefault="007859D6" w:rsidP="00A27F73">
            <w:pPr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709" w:type="dxa"/>
          </w:tcPr>
          <w:p w:rsidR="001570AF" w:rsidRPr="00BC41E0" w:rsidRDefault="007859D6" w:rsidP="00A27F73">
            <w:pPr>
              <w:rPr>
                <w:lang w:val="pl-PL"/>
              </w:rPr>
            </w:pPr>
            <w:r>
              <w:rPr>
                <w:lang w:val="pl-PL"/>
              </w:rPr>
              <w:t>70</w:t>
            </w:r>
          </w:p>
        </w:tc>
        <w:tc>
          <w:tcPr>
            <w:tcW w:w="1134" w:type="dxa"/>
          </w:tcPr>
          <w:p w:rsidR="001570AF" w:rsidRPr="00DC6D56" w:rsidRDefault="001570AF" w:rsidP="00A27F73"/>
        </w:tc>
        <w:tc>
          <w:tcPr>
            <w:tcW w:w="1134" w:type="dxa"/>
          </w:tcPr>
          <w:p w:rsidR="001570AF" w:rsidRPr="00DC6D56" w:rsidRDefault="001570AF" w:rsidP="00A27F73"/>
        </w:tc>
        <w:tc>
          <w:tcPr>
            <w:tcW w:w="709" w:type="dxa"/>
          </w:tcPr>
          <w:p w:rsidR="001570AF" w:rsidRPr="00DC6D56" w:rsidRDefault="001570AF" w:rsidP="00A27F73"/>
        </w:tc>
        <w:tc>
          <w:tcPr>
            <w:tcW w:w="1276" w:type="dxa"/>
          </w:tcPr>
          <w:p w:rsidR="001570AF" w:rsidRPr="00DC6D56" w:rsidRDefault="001570AF" w:rsidP="00A27F73"/>
        </w:tc>
        <w:tc>
          <w:tcPr>
            <w:tcW w:w="992" w:type="dxa"/>
          </w:tcPr>
          <w:p w:rsidR="001570AF" w:rsidRPr="00DC6D56" w:rsidRDefault="001570AF" w:rsidP="00A27F73"/>
        </w:tc>
        <w:tc>
          <w:tcPr>
            <w:tcW w:w="1417" w:type="dxa"/>
          </w:tcPr>
          <w:p w:rsidR="001570AF" w:rsidRPr="00DC6D56" w:rsidRDefault="001570AF" w:rsidP="00A27F73"/>
        </w:tc>
      </w:tr>
      <w:tr w:rsidR="001570AF" w:rsidRPr="00DC6D56" w:rsidTr="007859D6">
        <w:trPr>
          <w:trHeight w:val="557"/>
        </w:trPr>
        <w:tc>
          <w:tcPr>
            <w:tcW w:w="534" w:type="dxa"/>
          </w:tcPr>
          <w:p w:rsidR="001570AF" w:rsidRPr="00DC6D56" w:rsidRDefault="001570AF" w:rsidP="00A27F73">
            <w:r w:rsidRPr="00DC6D56">
              <w:t>2.</w:t>
            </w:r>
          </w:p>
        </w:tc>
        <w:tc>
          <w:tcPr>
            <w:tcW w:w="6804" w:type="dxa"/>
          </w:tcPr>
          <w:p w:rsidR="001E3D02" w:rsidRPr="001E3D02" w:rsidRDefault="007859D6" w:rsidP="007859D6">
            <w:pPr>
              <w:pStyle w:val="gwp047f6057msonormal"/>
              <w:rPr>
                <w:rFonts w:ascii="Calibri" w:hAnsi="Calibri"/>
                <w:b/>
                <w:sz w:val="22"/>
                <w:szCs w:val="22"/>
              </w:rPr>
            </w:pPr>
            <w:r>
              <w:t xml:space="preserve">Neutralny środek do mycia podłóg wodoodpornych. Zalecany do bieżącego mycia wodoodpornych podłóg, PCV, linoleum, kamienia naturalnego, betonu, marmuru, podłóg ceramicznych, gresu, lakierowanych parkietów oraz paneli. Nie pozostawiający smug i zacieków. Barwa koncentratu niebieska, stosowany w rozcieńczeniach 1:100 do 1:200. Polecany zarówno do mycia ręcznego jak i maszynowego. Zawierający: &lt;5% niejonowych środków powierzchniowo czynnych, &lt;5% alkoholi. Pozostawiający przyjemny, zapach. </w:t>
            </w:r>
            <w:proofErr w:type="spellStart"/>
            <w:r>
              <w:t>pH</w:t>
            </w:r>
            <w:proofErr w:type="spellEnd"/>
            <w:r>
              <w:t xml:space="preserve"> koncentratu 6-7. Gęstość koncentratu 1,023 – 1,033g/cm</w:t>
            </w:r>
            <w:r>
              <w:rPr>
                <w:vertAlign w:val="superscript"/>
              </w:rPr>
              <w:t>3</w:t>
            </w:r>
            <w:r>
              <w:t xml:space="preserve">. </w:t>
            </w:r>
            <w:r w:rsidRPr="007859D6">
              <w:rPr>
                <w:b/>
              </w:rPr>
              <w:t>Opakowania 10L</w:t>
            </w:r>
            <w:r>
              <w:t xml:space="preserve"> zawierające informację na temat </w:t>
            </w:r>
            <w:proofErr w:type="spellStart"/>
            <w:r>
              <w:t>pH</w:t>
            </w:r>
            <w:proofErr w:type="spellEnd"/>
            <w:r>
              <w:t xml:space="preserve"> koncentratu i zalecanych </w:t>
            </w:r>
            <w:proofErr w:type="spellStart"/>
            <w:r>
              <w:t>roztworów.</w:t>
            </w:r>
            <w:r w:rsidR="00A808E1" w:rsidRPr="001E3D02">
              <w:rPr>
                <w:b/>
              </w:rPr>
              <w:t>Wymagana</w:t>
            </w:r>
            <w:proofErr w:type="spellEnd"/>
            <w:r w:rsidR="00A808E1" w:rsidRPr="001E3D02">
              <w:rPr>
                <w:b/>
              </w:rPr>
              <w:t xml:space="preserve"> ulotka i karta charakterystyki</w:t>
            </w:r>
            <w:r w:rsidR="001E3D02" w:rsidRPr="001E3D02">
              <w:rPr>
                <w:rFonts w:ascii="Calibri" w:hAnsi="Calibri"/>
                <w:b/>
                <w:sz w:val="22"/>
                <w:szCs w:val="22"/>
              </w:rPr>
              <w:t xml:space="preserve"> należy dołączyć do oferty </w:t>
            </w:r>
            <w:r w:rsidR="001E3D02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1570AF" w:rsidRPr="007859D6" w:rsidRDefault="001E3D02" w:rsidP="007859D6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 </w:t>
            </w:r>
          </w:p>
        </w:tc>
        <w:tc>
          <w:tcPr>
            <w:tcW w:w="708" w:type="dxa"/>
          </w:tcPr>
          <w:p w:rsidR="001570AF" w:rsidRPr="00BC41E0" w:rsidRDefault="00BC41E0" w:rsidP="00A27F73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</w:tcPr>
          <w:p w:rsidR="001570AF" w:rsidRPr="00BC41E0" w:rsidRDefault="007859D6" w:rsidP="00A27F73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1134" w:type="dxa"/>
          </w:tcPr>
          <w:p w:rsidR="001570AF" w:rsidRPr="00DC6D56" w:rsidRDefault="001570AF" w:rsidP="00A27F73"/>
        </w:tc>
        <w:tc>
          <w:tcPr>
            <w:tcW w:w="1134" w:type="dxa"/>
          </w:tcPr>
          <w:p w:rsidR="001570AF" w:rsidRPr="00DC6D56" w:rsidRDefault="001570AF" w:rsidP="00A27F73"/>
        </w:tc>
        <w:tc>
          <w:tcPr>
            <w:tcW w:w="709" w:type="dxa"/>
          </w:tcPr>
          <w:p w:rsidR="001570AF" w:rsidRPr="00DC6D56" w:rsidRDefault="001570AF" w:rsidP="00A27F73"/>
        </w:tc>
        <w:tc>
          <w:tcPr>
            <w:tcW w:w="1276" w:type="dxa"/>
          </w:tcPr>
          <w:p w:rsidR="001570AF" w:rsidRPr="00DC6D56" w:rsidRDefault="001570AF" w:rsidP="00A27F73"/>
        </w:tc>
        <w:tc>
          <w:tcPr>
            <w:tcW w:w="992" w:type="dxa"/>
          </w:tcPr>
          <w:p w:rsidR="001570AF" w:rsidRPr="00DC6D56" w:rsidRDefault="001570AF" w:rsidP="00A27F73"/>
        </w:tc>
        <w:tc>
          <w:tcPr>
            <w:tcW w:w="1417" w:type="dxa"/>
          </w:tcPr>
          <w:p w:rsidR="001570AF" w:rsidRPr="00DC6D56" w:rsidRDefault="001570AF" w:rsidP="00A27F73"/>
        </w:tc>
      </w:tr>
      <w:tr w:rsidR="001570AF" w:rsidRPr="00DC6D56" w:rsidTr="007859D6">
        <w:tc>
          <w:tcPr>
            <w:tcW w:w="534" w:type="dxa"/>
          </w:tcPr>
          <w:p w:rsidR="001570AF" w:rsidRPr="00DC6D56" w:rsidRDefault="001570AF" w:rsidP="00A27F73">
            <w:r w:rsidRPr="00DC6D56">
              <w:lastRenderedPageBreak/>
              <w:t>3.</w:t>
            </w:r>
          </w:p>
        </w:tc>
        <w:tc>
          <w:tcPr>
            <w:tcW w:w="6804" w:type="dxa"/>
          </w:tcPr>
          <w:p w:rsidR="001570AF" w:rsidRPr="00DC6D56" w:rsidRDefault="007859D6" w:rsidP="007859D6">
            <w:r>
              <w:t>Antystatyczny, skoncentrowany preparat do bieżącego mycia powierzchni drewnianych, drewnopodobnych, laminowanych i innych powierzchni i sprzętów wodoodpornych. Nie pozostawiający smug i zacieków. Zalecany również do mebli ze skór naturalnych i ekologicznych. Stosowany w rozcieńczeniach 1:100. Barwa koncentratu żółta. Zawierający: &lt;5% niejonowych środków powierzchniowo czynnych, &lt;5% alkoholi. Nie zawierający w swoim składzie wosków, polimerów ani innych substancji odkładających się na mytych powierzchniach oraz konserwantów. Pozostawiający przyjemny zapach. pH koncentratu: 7,5 - 8,5. Gęstość koncentratu 0,990 – 1,000 g/cm</w:t>
            </w:r>
            <w:r>
              <w:rPr>
                <w:vertAlign w:val="superscript"/>
              </w:rPr>
              <w:t>3</w:t>
            </w:r>
            <w:r>
              <w:t xml:space="preserve">. </w:t>
            </w:r>
            <w:r w:rsidRPr="007859D6">
              <w:rPr>
                <w:b/>
              </w:rPr>
              <w:t>Opakowania 10L</w:t>
            </w:r>
            <w:r>
              <w:t xml:space="preserve"> zawierające informację na temat pH koncentratu i zalecanych roztworów.</w:t>
            </w:r>
            <w:r w:rsidR="001570AF" w:rsidRPr="00DC6D56">
              <w:t>.</w:t>
            </w:r>
            <w:r w:rsidR="003150A2">
              <w:rPr>
                <w:lang w:val="pl-PL"/>
              </w:rPr>
              <w:t xml:space="preserve"> </w:t>
            </w:r>
            <w:r w:rsidR="003150A2" w:rsidRPr="001E3D02">
              <w:rPr>
                <w:b/>
                <w:lang w:val="pl-PL"/>
              </w:rPr>
              <w:t>Wymagana ulotka i karta charakterystyki</w:t>
            </w:r>
            <w:r w:rsidR="001E3D02" w:rsidRPr="001E3D02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należy dołączyć do oferty</w:t>
            </w:r>
            <w:r w:rsidR="001E3D02">
              <w:rPr>
                <w:rFonts w:ascii="Calibri" w:hAnsi="Calibri"/>
                <w:b/>
                <w:sz w:val="22"/>
                <w:szCs w:val="22"/>
                <w:lang w:val="pl-PL"/>
              </w:rPr>
              <w:t>.</w:t>
            </w:r>
            <w:r w:rsidR="001570AF" w:rsidRPr="00DC6D56">
              <w:t xml:space="preserve"> </w:t>
            </w:r>
          </w:p>
        </w:tc>
        <w:tc>
          <w:tcPr>
            <w:tcW w:w="708" w:type="dxa"/>
          </w:tcPr>
          <w:p w:rsidR="001570AF" w:rsidRPr="00BC41E0" w:rsidRDefault="00BC41E0" w:rsidP="00A27F73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1570AF" w:rsidRPr="00BC41E0" w:rsidRDefault="007859D6" w:rsidP="00A27F73">
            <w:pPr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1134" w:type="dxa"/>
          </w:tcPr>
          <w:p w:rsidR="001570AF" w:rsidRPr="00DC6D56" w:rsidRDefault="001570AF" w:rsidP="00A27F73"/>
        </w:tc>
        <w:tc>
          <w:tcPr>
            <w:tcW w:w="1134" w:type="dxa"/>
          </w:tcPr>
          <w:p w:rsidR="001570AF" w:rsidRPr="00DC6D56" w:rsidRDefault="001570AF" w:rsidP="00A27F73"/>
        </w:tc>
        <w:tc>
          <w:tcPr>
            <w:tcW w:w="709" w:type="dxa"/>
          </w:tcPr>
          <w:p w:rsidR="001570AF" w:rsidRPr="00DC6D56" w:rsidRDefault="001570AF" w:rsidP="00A27F73"/>
        </w:tc>
        <w:tc>
          <w:tcPr>
            <w:tcW w:w="1276" w:type="dxa"/>
          </w:tcPr>
          <w:p w:rsidR="001570AF" w:rsidRPr="00DC6D56" w:rsidRDefault="001570AF" w:rsidP="00A27F73"/>
        </w:tc>
        <w:tc>
          <w:tcPr>
            <w:tcW w:w="992" w:type="dxa"/>
          </w:tcPr>
          <w:p w:rsidR="001570AF" w:rsidRPr="00DC6D56" w:rsidRDefault="001570AF" w:rsidP="00A27F73"/>
        </w:tc>
        <w:tc>
          <w:tcPr>
            <w:tcW w:w="1417" w:type="dxa"/>
          </w:tcPr>
          <w:p w:rsidR="001570AF" w:rsidRPr="00DC6D56" w:rsidRDefault="001570AF" w:rsidP="00A27F73"/>
        </w:tc>
      </w:tr>
      <w:tr w:rsidR="001570AF" w:rsidRPr="00DC6D56" w:rsidTr="007859D6">
        <w:tc>
          <w:tcPr>
            <w:tcW w:w="534" w:type="dxa"/>
          </w:tcPr>
          <w:p w:rsidR="001570AF" w:rsidRPr="00DC6D56" w:rsidRDefault="001570AF" w:rsidP="00A27F73">
            <w:r w:rsidRPr="00DC6D56">
              <w:t>4.</w:t>
            </w:r>
          </w:p>
        </w:tc>
        <w:tc>
          <w:tcPr>
            <w:tcW w:w="6804" w:type="dxa"/>
          </w:tcPr>
          <w:p w:rsidR="003150A2" w:rsidRPr="007859D6" w:rsidRDefault="007859D6" w:rsidP="007859D6">
            <w:pPr>
              <w:pStyle w:val="gwp047f6057msonormal"/>
              <w:rPr>
                <w:rFonts w:ascii="Calibri" w:hAnsi="Calibri"/>
                <w:b/>
                <w:sz w:val="22"/>
                <w:szCs w:val="22"/>
              </w:rPr>
            </w:pPr>
            <w:r>
              <w:t>Środek do codziennej pielęgnacji pomieszczeń i urządzeń sanitarnych. Przeznaczony do powierzchni takich jak: kafelki ceramiczne, porcelana, chrom, stal nierdzewna, szkło i tworzywa sztuczne. Pozostawiający przyjemny zapach. Stosowany w rozcieńczeniach 1:10 do 1:100. Niezaklasyfikowany jako produkt niebezpieczny. Gęstość 1005 - 1015 kg/</w:t>
            </w:r>
            <w:proofErr w:type="spellStart"/>
            <w:r>
              <w:t>m³</w:t>
            </w:r>
            <w:proofErr w:type="spellEnd"/>
            <w:r>
              <w:t xml:space="preserve">. Kolor czerwony. Zawierający &lt;5% niejonowych środków powierzchniowo czynnych, 5-10% kwasu </w:t>
            </w:r>
            <w:proofErr w:type="spellStart"/>
            <w:r>
              <w:t>amidosulfonowego</w:t>
            </w:r>
            <w:proofErr w:type="spellEnd"/>
            <w:r>
              <w:t xml:space="preserve">. </w:t>
            </w:r>
            <w:proofErr w:type="spellStart"/>
            <w:r>
              <w:t>pH</w:t>
            </w:r>
            <w:proofErr w:type="spellEnd"/>
            <w:r>
              <w:t xml:space="preserve"> koncentratu 0,5 - 1,5. </w:t>
            </w:r>
            <w:r w:rsidRPr="007859D6">
              <w:rPr>
                <w:b/>
              </w:rPr>
              <w:t>Opakowania 10L</w:t>
            </w:r>
            <w:r>
              <w:t xml:space="preserve"> zawierające informację na temat </w:t>
            </w:r>
            <w:proofErr w:type="spellStart"/>
            <w:r>
              <w:t>pH</w:t>
            </w:r>
            <w:proofErr w:type="spellEnd"/>
            <w:r>
              <w:t xml:space="preserve"> koncentratu i zalecanych roztworów. </w:t>
            </w:r>
            <w:r w:rsidR="003150A2" w:rsidRPr="001E3D02">
              <w:rPr>
                <w:rFonts w:ascii="Calibri" w:hAnsi="Calibri"/>
                <w:b/>
                <w:sz w:val="22"/>
                <w:szCs w:val="22"/>
              </w:rPr>
              <w:t>Wymagana ulotka i karta charakterystyki</w:t>
            </w:r>
            <w:r w:rsidR="001E3D02" w:rsidRPr="001E3D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150A2" w:rsidRPr="001E3D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E3D02" w:rsidRPr="001E3D02">
              <w:rPr>
                <w:rFonts w:ascii="Calibri" w:hAnsi="Calibri"/>
                <w:b/>
                <w:sz w:val="22"/>
                <w:szCs w:val="22"/>
              </w:rPr>
              <w:t>należy dołączyć do ofer</w:t>
            </w:r>
            <w:r>
              <w:rPr>
                <w:rFonts w:ascii="Calibri" w:hAnsi="Calibri"/>
                <w:b/>
                <w:sz w:val="22"/>
                <w:szCs w:val="22"/>
              </w:rPr>
              <w:t>ty.</w:t>
            </w:r>
          </w:p>
          <w:p w:rsidR="001570AF" w:rsidRPr="007859D6" w:rsidRDefault="001570AF" w:rsidP="007859D6">
            <w:pPr>
              <w:rPr>
                <w:lang w:val="pl-PL"/>
              </w:rPr>
            </w:pPr>
          </w:p>
        </w:tc>
        <w:tc>
          <w:tcPr>
            <w:tcW w:w="708" w:type="dxa"/>
          </w:tcPr>
          <w:p w:rsidR="001570AF" w:rsidRPr="00BC41E0" w:rsidRDefault="00BC41E0" w:rsidP="00A27F73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1570AF" w:rsidRPr="00BC41E0" w:rsidRDefault="007859D6" w:rsidP="00A27F73">
            <w:pPr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1134" w:type="dxa"/>
          </w:tcPr>
          <w:p w:rsidR="001570AF" w:rsidRPr="00DC6D56" w:rsidRDefault="001570AF" w:rsidP="00A27F73"/>
        </w:tc>
        <w:tc>
          <w:tcPr>
            <w:tcW w:w="1134" w:type="dxa"/>
          </w:tcPr>
          <w:p w:rsidR="001570AF" w:rsidRPr="00DC6D56" w:rsidRDefault="001570AF" w:rsidP="00A27F73"/>
        </w:tc>
        <w:tc>
          <w:tcPr>
            <w:tcW w:w="709" w:type="dxa"/>
          </w:tcPr>
          <w:p w:rsidR="001570AF" w:rsidRPr="00DC6D56" w:rsidRDefault="001570AF" w:rsidP="00A27F73"/>
        </w:tc>
        <w:tc>
          <w:tcPr>
            <w:tcW w:w="1276" w:type="dxa"/>
          </w:tcPr>
          <w:p w:rsidR="001570AF" w:rsidRPr="00DC6D56" w:rsidRDefault="001570AF" w:rsidP="00A27F73"/>
        </w:tc>
        <w:tc>
          <w:tcPr>
            <w:tcW w:w="992" w:type="dxa"/>
          </w:tcPr>
          <w:p w:rsidR="001570AF" w:rsidRPr="00DC6D56" w:rsidRDefault="001570AF" w:rsidP="00A27F73"/>
        </w:tc>
        <w:tc>
          <w:tcPr>
            <w:tcW w:w="1417" w:type="dxa"/>
          </w:tcPr>
          <w:p w:rsidR="001570AF" w:rsidRPr="00DC6D56" w:rsidRDefault="001570AF" w:rsidP="00A27F73"/>
        </w:tc>
      </w:tr>
      <w:tr w:rsidR="001570AF" w:rsidRPr="00DC6D56" w:rsidTr="007859D6">
        <w:tc>
          <w:tcPr>
            <w:tcW w:w="534" w:type="dxa"/>
          </w:tcPr>
          <w:p w:rsidR="001570AF" w:rsidRPr="00DC6D56" w:rsidRDefault="001570AF" w:rsidP="00A27F73">
            <w:r w:rsidRPr="00DC6D56">
              <w:t>5.</w:t>
            </w:r>
          </w:p>
        </w:tc>
        <w:tc>
          <w:tcPr>
            <w:tcW w:w="6804" w:type="dxa"/>
          </w:tcPr>
          <w:p w:rsidR="007859D6" w:rsidRPr="001570AF" w:rsidRDefault="007859D6" w:rsidP="007859D6">
            <w:pPr>
              <w:rPr>
                <w:sz w:val="20"/>
                <w:szCs w:val="20"/>
              </w:rPr>
            </w:pPr>
            <w:r>
              <w:t xml:space="preserve">Środek do gruntownego czyszczenia pomieszczeń i urządzeń sanitarnych. Likwidujący przykre zapachy w pomieszczeniach zawilgoconych. Zawiera technologię Anti-Stone opóźniającą osadzanie się kamienia wodnego na mytych powierzchniach. Bardzo skuteczny w obszarze odkamieniania posiadający </w:t>
            </w:r>
            <w:r>
              <w:lastRenderedPageBreak/>
              <w:t>udokumentowany współczynnik KLI (dot. skuteczności odkamieniania) większy niż 2. Stosowany w rozcieńczeniach 1:10 do 1:50. Zawierający: &lt;5% niejonowych środków powierzchniowo czynnych, 5-10% kwasu amidosulfonowego, 5-10% kwasu ortofosforowego, izotridekanol oksyetylowany, 2-butoksyetanol oraz inhibitor korozji. pH koncentratu 0,5-1,0. Gęstość koncentratu 1,085 – 1,095 g/cm</w:t>
            </w:r>
            <w:r>
              <w:rPr>
                <w:vertAlign w:val="superscript"/>
              </w:rPr>
              <w:t>3</w:t>
            </w:r>
            <w:r>
              <w:t xml:space="preserve">. </w:t>
            </w:r>
            <w:r w:rsidRPr="007859D6">
              <w:rPr>
                <w:b/>
              </w:rPr>
              <w:t>Opakowania 1L</w:t>
            </w:r>
            <w:r>
              <w:t>  zawierające informację na temat pH koncentratu i zalecanych roztworów. Produkt posiadający</w:t>
            </w:r>
            <w:r w:rsidR="001C0E8E">
              <w:t xml:space="preserve"> Świadectwo Jakości Zdrowotnej</w:t>
            </w:r>
            <w:r>
              <w:t xml:space="preserve"> </w:t>
            </w:r>
          </w:p>
          <w:p w:rsidR="001570AF" w:rsidRPr="001570AF" w:rsidRDefault="001570AF" w:rsidP="001570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570AF" w:rsidRPr="00BC41E0" w:rsidRDefault="00BC41E0" w:rsidP="00A27F73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</w:tcPr>
          <w:p w:rsidR="001570AF" w:rsidRPr="00BC41E0" w:rsidRDefault="002901F5" w:rsidP="00A27F73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7859D6">
              <w:rPr>
                <w:lang w:val="pl-PL"/>
              </w:rPr>
              <w:t>00</w:t>
            </w:r>
          </w:p>
        </w:tc>
        <w:tc>
          <w:tcPr>
            <w:tcW w:w="1134" w:type="dxa"/>
          </w:tcPr>
          <w:p w:rsidR="001570AF" w:rsidRPr="00DC6D56" w:rsidRDefault="001570AF" w:rsidP="00A27F73"/>
        </w:tc>
        <w:tc>
          <w:tcPr>
            <w:tcW w:w="1134" w:type="dxa"/>
          </w:tcPr>
          <w:p w:rsidR="001570AF" w:rsidRPr="00DC6D56" w:rsidRDefault="001570AF" w:rsidP="00A27F73"/>
        </w:tc>
        <w:tc>
          <w:tcPr>
            <w:tcW w:w="709" w:type="dxa"/>
          </w:tcPr>
          <w:p w:rsidR="001570AF" w:rsidRPr="00DC6D56" w:rsidRDefault="001570AF" w:rsidP="00A27F73"/>
        </w:tc>
        <w:tc>
          <w:tcPr>
            <w:tcW w:w="1276" w:type="dxa"/>
          </w:tcPr>
          <w:p w:rsidR="001570AF" w:rsidRPr="00DC6D56" w:rsidRDefault="001570AF" w:rsidP="00A27F73"/>
        </w:tc>
        <w:tc>
          <w:tcPr>
            <w:tcW w:w="992" w:type="dxa"/>
          </w:tcPr>
          <w:p w:rsidR="001570AF" w:rsidRPr="00DC6D56" w:rsidRDefault="001570AF" w:rsidP="00A27F73"/>
        </w:tc>
        <w:tc>
          <w:tcPr>
            <w:tcW w:w="1417" w:type="dxa"/>
          </w:tcPr>
          <w:p w:rsidR="001570AF" w:rsidRPr="00DC6D56" w:rsidRDefault="001570AF" w:rsidP="00A27F73"/>
        </w:tc>
      </w:tr>
      <w:tr w:rsidR="003150A2" w:rsidRPr="00DC6D56" w:rsidTr="007859D6">
        <w:tc>
          <w:tcPr>
            <w:tcW w:w="534" w:type="dxa"/>
          </w:tcPr>
          <w:p w:rsidR="003150A2" w:rsidRPr="003150A2" w:rsidRDefault="003150A2" w:rsidP="00A27F73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6.</w:t>
            </w:r>
          </w:p>
        </w:tc>
        <w:tc>
          <w:tcPr>
            <w:tcW w:w="6804" w:type="dxa"/>
          </w:tcPr>
          <w:p w:rsidR="003150A2" w:rsidRPr="00A46BE2" w:rsidRDefault="00A46BE2" w:rsidP="00A46BE2">
            <w:pPr>
              <w:pStyle w:val="gwp047f6057msonormal"/>
            </w:pPr>
            <w:r>
              <w:t xml:space="preserve">Środek przeznaczony do gruntownego mycia mocno zabrudzonych powierzchni. Usuwający stary brud, tłuszcze, pasty oraz powłoki polimerowe. Szczególnie zalecany do podłóg kamiennych, z lastriko oraz z PCV. Środek </w:t>
            </w:r>
            <w:proofErr w:type="spellStart"/>
            <w:r>
              <w:t>niskopieniący</w:t>
            </w:r>
            <w:proofErr w:type="spellEnd"/>
            <w:r>
              <w:t xml:space="preserve">, stosowany w rozcieńczeniach : usuwanie warstw polimerowych – 1:3 do 1:10; gruntowne mycie: 1:10 do 1:20. Zawierający &lt;5% anionowych środków powierzchniowo czynnych, &lt;5% niejonowych środków powierzchniowo czynnych. Nie zawierający amoniaku, </w:t>
            </w:r>
            <w:proofErr w:type="spellStart"/>
            <w:r>
              <w:t>n-metylpyrolidonu</w:t>
            </w:r>
            <w:proofErr w:type="spellEnd"/>
            <w:r>
              <w:t>, wodorotlenku sodu ani potasu. Zawiera kompozycje zapachowe pokrywające drażniący zapach chemikaliów. Gęstość 1000 - 1010 kg/</w:t>
            </w:r>
            <w:proofErr w:type="spellStart"/>
            <w:r>
              <w:t>m³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proofErr w:type="spellEnd"/>
            <w:r>
              <w:t xml:space="preserve"> koncentratu 10,5-11,5. </w:t>
            </w:r>
            <w:r w:rsidRPr="00A46BE2">
              <w:rPr>
                <w:b/>
              </w:rPr>
              <w:t>Opakowania 10L</w:t>
            </w:r>
            <w:r>
              <w:t xml:space="preserve"> zawierające informację na temat </w:t>
            </w:r>
            <w:proofErr w:type="spellStart"/>
            <w:r>
              <w:t>pH</w:t>
            </w:r>
            <w:proofErr w:type="spellEnd"/>
            <w:r>
              <w:t xml:space="preserve"> koncentratu i zalecanych roztworów. </w:t>
            </w:r>
            <w:r w:rsidR="003150A2" w:rsidRPr="001E3D02">
              <w:rPr>
                <w:rFonts w:ascii="Calibri" w:hAnsi="Calibri"/>
                <w:b/>
                <w:sz w:val="22"/>
                <w:szCs w:val="22"/>
              </w:rPr>
              <w:t xml:space="preserve">Wymagana ulotka, karta charakterystyki </w:t>
            </w:r>
            <w:r w:rsidR="001E3D02">
              <w:rPr>
                <w:rFonts w:ascii="Calibri" w:hAnsi="Calibri"/>
                <w:b/>
                <w:sz w:val="22"/>
                <w:szCs w:val="22"/>
              </w:rPr>
              <w:t>preparatu- należy dołączyć do oferty</w:t>
            </w:r>
          </w:p>
        </w:tc>
        <w:tc>
          <w:tcPr>
            <w:tcW w:w="708" w:type="dxa"/>
          </w:tcPr>
          <w:p w:rsidR="003150A2" w:rsidRPr="00BC41E0" w:rsidRDefault="00BC41E0" w:rsidP="00A27F73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szt</w:t>
            </w:r>
            <w:proofErr w:type="spellEnd"/>
          </w:p>
        </w:tc>
        <w:tc>
          <w:tcPr>
            <w:tcW w:w="709" w:type="dxa"/>
          </w:tcPr>
          <w:p w:rsidR="003150A2" w:rsidRPr="00BC41E0" w:rsidRDefault="00A46BE2" w:rsidP="00A27F73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1134" w:type="dxa"/>
          </w:tcPr>
          <w:p w:rsidR="003150A2" w:rsidRPr="00DC6D56" w:rsidRDefault="003150A2" w:rsidP="00A27F73"/>
        </w:tc>
        <w:tc>
          <w:tcPr>
            <w:tcW w:w="1134" w:type="dxa"/>
          </w:tcPr>
          <w:p w:rsidR="003150A2" w:rsidRPr="00DC6D56" w:rsidRDefault="003150A2" w:rsidP="00A27F73"/>
        </w:tc>
        <w:tc>
          <w:tcPr>
            <w:tcW w:w="709" w:type="dxa"/>
          </w:tcPr>
          <w:p w:rsidR="003150A2" w:rsidRPr="00DC6D56" w:rsidRDefault="003150A2" w:rsidP="00A27F73"/>
        </w:tc>
        <w:tc>
          <w:tcPr>
            <w:tcW w:w="1276" w:type="dxa"/>
          </w:tcPr>
          <w:p w:rsidR="003150A2" w:rsidRPr="00DC6D56" w:rsidRDefault="003150A2" w:rsidP="00A27F73"/>
        </w:tc>
        <w:tc>
          <w:tcPr>
            <w:tcW w:w="992" w:type="dxa"/>
          </w:tcPr>
          <w:p w:rsidR="003150A2" w:rsidRPr="00DC6D56" w:rsidRDefault="003150A2" w:rsidP="00A27F73"/>
        </w:tc>
        <w:tc>
          <w:tcPr>
            <w:tcW w:w="1417" w:type="dxa"/>
          </w:tcPr>
          <w:p w:rsidR="003150A2" w:rsidRPr="00DC6D56" w:rsidRDefault="003150A2" w:rsidP="00A27F73"/>
        </w:tc>
      </w:tr>
      <w:tr w:rsidR="00A46BE2" w:rsidRPr="00DC6D56" w:rsidTr="007859D6">
        <w:tc>
          <w:tcPr>
            <w:tcW w:w="534" w:type="dxa"/>
          </w:tcPr>
          <w:p w:rsidR="00A46BE2" w:rsidRDefault="00A46BE2" w:rsidP="00A27F73">
            <w:pPr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6804" w:type="dxa"/>
          </w:tcPr>
          <w:p w:rsidR="00A46BE2" w:rsidRDefault="00A46BE2" w:rsidP="00A46BE2">
            <w:pPr>
              <w:pStyle w:val="gwp047f6057msonormal"/>
            </w:pPr>
            <w:r>
              <w:t xml:space="preserve">Dyspersja polimerowa do nabłyszczania podłóg. Zalecana do gumolitów, linoleum, płytek PCV i </w:t>
            </w:r>
            <w:proofErr w:type="spellStart"/>
            <w:r>
              <w:t>lastrika</w:t>
            </w:r>
            <w:proofErr w:type="spellEnd"/>
            <w:r>
              <w:t>. Posiadająca właściwości antypoślizgowe zgodne z normą DIN18032/2 Odporna na środki dezynfekujące oparte na alkoholu. Wydajność preparatu 70m 2 z 1 litra preparatu. Nie wymagająca polerowania. Skład: minimum 17% polimerów akrylowych oraz 1% wosków polietylenowych, a także jony cynku, które zwiększają trwałość warstwy polimerowej. Gęstość 1020 - 1030 kg/</w:t>
            </w:r>
            <w:proofErr w:type="spellStart"/>
            <w:r>
              <w:t>m³</w:t>
            </w:r>
            <w:proofErr w:type="spellEnd"/>
            <w:r>
              <w:t xml:space="preserve">. Dyspersja posiadająca przyjemny zapach uwalniający się również podczas jak i po procesie polimeryzacji. </w:t>
            </w:r>
            <w:proofErr w:type="spellStart"/>
            <w:r>
              <w:t>Ph</w:t>
            </w:r>
            <w:proofErr w:type="spellEnd"/>
            <w:r>
              <w:t xml:space="preserve"> preparatu 8,0-9,0. </w:t>
            </w:r>
            <w:r w:rsidRPr="00A46BE2">
              <w:rPr>
                <w:b/>
              </w:rPr>
              <w:t>Opakowania 10L</w:t>
            </w:r>
            <w:r>
              <w:t xml:space="preserve"> </w:t>
            </w:r>
            <w:r>
              <w:lastRenderedPageBreak/>
              <w:t xml:space="preserve">zawierające informację na temat </w:t>
            </w:r>
            <w:proofErr w:type="spellStart"/>
            <w:r>
              <w:t>pH</w:t>
            </w:r>
            <w:proofErr w:type="spellEnd"/>
            <w:r>
              <w:t xml:space="preserve"> koncentratu i zalecanych roztworów.</w:t>
            </w:r>
            <w:r w:rsidRPr="001E3D02">
              <w:rPr>
                <w:rFonts w:ascii="Calibri" w:hAnsi="Calibri"/>
                <w:b/>
                <w:sz w:val="22"/>
                <w:szCs w:val="22"/>
              </w:rPr>
              <w:t xml:space="preserve"> Wymagana ulotka, karta charakterystyki </w:t>
            </w:r>
            <w:r>
              <w:rPr>
                <w:rFonts w:ascii="Calibri" w:hAnsi="Calibri"/>
                <w:b/>
                <w:sz w:val="22"/>
                <w:szCs w:val="22"/>
              </w:rPr>
              <w:t>preparatu- należy dołączyć do oferty</w:t>
            </w:r>
          </w:p>
          <w:p w:rsidR="00A46BE2" w:rsidRDefault="00A46BE2" w:rsidP="00A46BE2">
            <w:pPr>
              <w:pStyle w:val="gwp047f6057msonormal"/>
            </w:pPr>
          </w:p>
        </w:tc>
        <w:tc>
          <w:tcPr>
            <w:tcW w:w="708" w:type="dxa"/>
          </w:tcPr>
          <w:p w:rsidR="00A46BE2" w:rsidRDefault="00A46BE2" w:rsidP="00A27F73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Szt.</w:t>
            </w:r>
          </w:p>
        </w:tc>
        <w:tc>
          <w:tcPr>
            <w:tcW w:w="709" w:type="dxa"/>
          </w:tcPr>
          <w:p w:rsidR="00A46BE2" w:rsidRDefault="00A46BE2" w:rsidP="00A27F73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1134" w:type="dxa"/>
          </w:tcPr>
          <w:p w:rsidR="00A46BE2" w:rsidRPr="00DC6D56" w:rsidRDefault="00A46BE2" w:rsidP="00A27F73"/>
        </w:tc>
        <w:tc>
          <w:tcPr>
            <w:tcW w:w="1134" w:type="dxa"/>
          </w:tcPr>
          <w:p w:rsidR="00A46BE2" w:rsidRPr="00DC6D56" w:rsidRDefault="00A46BE2" w:rsidP="00A27F73"/>
        </w:tc>
        <w:tc>
          <w:tcPr>
            <w:tcW w:w="709" w:type="dxa"/>
          </w:tcPr>
          <w:p w:rsidR="00A46BE2" w:rsidRPr="00DC6D56" w:rsidRDefault="00A46BE2" w:rsidP="00A27F73"/>
        </w:tc>
        <w:tc>
          <w:tcPr>
            <w:tcW w:w="1276" w:type="dxa"/>
          </w:tcPr>
          <w:p w:rsidR="00A46BE2" w:rsidRPr="00DC6D56" w:rsidRDefault="00A46BE2" w:rsidP="00A27F73"/>
        </w:tc>
        <w:tc>
          <w:tcPr>
            <w:tcW w:w="992" w:type="dxa"/>
          </w:tcPr>
          <w:p w:rsidR="00A46BE2" w:rsidRPr="00DC6D56" w:rsidRDefault="00A46BE2" w:rsidP="00A27F73"/>
        </w:tc>
        <w:tc>
          <w:tcPr>
            <w:tcW w:w="1417" w:type="dxa"/>
          </w:tcPr>
          <w:p w:rsidR="00A46BE2" w:rsidRPr="00DC6D56" w:rsidRDefault="00A46BE2" w:rsidP="00A27F73"/>
        </w:tc>
      </w:tr>
      <w:tr w:rsidR="001570AF" w:rsidRPr="00DC6D56" w:rsidTr="007859D6">
        <w:tc>
          <w:tcPr>
            <w:tcW w:w="534" w:type="dxa"/>
          </w:tcPr>
          <w:p w:rsidR="001570AF" w:rsidRPr="00DC6D56" w:rsidRDefault="00A46BE2" w:rsidP="00A27F73">
            <w:r>
              <w:rPr>
                <w:lang w:val="pl-PL"/>
              </w:rPr>
              <w:lastRenderedPageBreak/>
              <w:t>8</w:t>
            </w:r>
            <w:r w:rsidR="001570AF" w:rsidRPr="00DC6D56">
              <w:t>.</w:t>
            </w:r>
          </w:p>
        </w:tc>
        <w:tc>
          <w:tcPr>
            <w:tcW w:w="6804" w:type="dxa"/>
          </w:tcPr>
          <w:p w:rsidR="001570AF" w:rsidRPr="00DC6D56" w:rsidRDefault="001570AF" w:rsidP="00A27F73">
            <w:r w:rsidRPr="00DC6D56">
              <w:t>RAZEM:</w:t>
            </w:r>
          </w:p>
        </w:tc>
        <w:tc>
          <w:tcPr>
            <w:tcW w:w="708" w:type="dxa"/>
          </w:tcPr>
          <w:p w:rsidR="001570AF" w:rsidRPr="00DC6D56" w:rsidRDefault="001570AF" w:rsidP="00A27F73">
            <w:r w:rsidRPr="00DC6D56">
              <w:t>x</w:t>
            </w:r>
          </w:p>
        </w:tc>
        <w:tc>
          <w:tcPr>
            <w:tcW w:w="709" w:type="dxa"/>
          </w:tcPr>
          <w:p w:rsidR="001570AF" w:rsidRPr="00DC6D56" w:rsidRDefault="001570AF" w:rsidP="00A27F73">
            <w:r w:rsidRPr="00DC6D56">
              <w:t>x</w:t>
            </w:r>
          </w:p>
        </w:tc>
        <w:tc>
          <w:tcPr>
            <w:tcW w:w="1134" w:type="dxa"/>
          </w:tcPr>
          <w:p w:rsidR="001570AF" w:rsidRPr="00DC6D56" w:rsidRDefault="001570AF" w:rsidP="00A27F73">
            <w:r w:rsidRPr="00DC6D56">
              <w:t>x</w:t>
            </w:r>
          </w:p>
        </w:tc>
        <w:tc>
          <w:tcPr>
            <w:tcW w:w="1134" w:type="dxa"/>
          </w:tcPr>
          <w:p w:rsidR="001570AF" w:rsidRPr="00DC6D56" w:rsidRDefault="001570AF" w:rsidP="00A27F73"/>
        </w:tc>
        <w:tc>
          <w:tcPr>
            <w:tcW w:w="709" w:type="dxa"/>
          </w:tcPr>
          <w:p w:rsidR="001570AF" w:rsidRPr="00DC6D56" w:rsidRDefault="001570AF" w:rsidP="00A27F73">
            <w:r w:rsidRPr="00DC6D56">
              <w:t>x</w:t>
            </w:r>
          </w:p>
        </w:tc>
        <w:tc>
          <w:tcPr>
            <w:tcW w:w="1276" w:type="dxa"/>
          </w:tcPr>
          <w:p w:rsidR="001570AF" w:rsidRPr="00DC6D56" w:rsidRDefault="001570AF" w:rsidP="00A27F73"/>
        </w:tc>
        <w:tc>
          <w:tcPr>
            <w:tcW w:w="992" w:type="dxa"/>
          </w:tcPr>
          <w:p w:rsidR="001570AF" w:rsidRPr="00DC6D56" w:rsidRDefault="001570AF" w:rsidP="00A27F73"/>
        </w:tc>
        <w:tc>
          <w:tcPr>
            <w:tcW w:w="1417" w:type="dxa"/>
          </w:tcPr>
          <w:p w:rsidR="001570AF" w:rsidRPr="00DC6D56" w:rsidRDefault="001570AF" w:rsidP="00A27F73">
            <w:r w:rsidRPr="00DC6D56">
              <w:t>X</w:t>
            </w:r>
          </w:p>
        </w:tc>
      </w:tr>
    </w:tbl>
    <w:p w:rsidR="001570AF" w:rsidRPr="00A02237" w:rsidRDefault="00A02237" w:rsidP="001570AF">
      <w:pPr>
        <w:rPr>
          <w:b/>
          <w:lang w:val="pl-PL"/>
        </w:rPr>
      </w:pPr>
      <w:r w:rsidRPr="00A02237">
        <w:rPr>
          <w:b/>
          <w:lang w:val="pl-PL"/>
        </w:rPr>
        <w:t>DODATKOWE WYMAGANIA:</w:t>
      </w:r>
    </w:p>
    <w:p w:rsidR="00A02237" w:rsidRDefault="00A02237" w:rsidP="00A02237">
      <w:pPr>
        <w:pStyle w:val="gwp047f6057msonormal"/>
      </w:pPr>
      <w:r>
        <w:t xml:space="preserve">1. Dla poz. </w:t>
      </w:r>
      <w:r w:rsidR="00237909">
        <w:t>4 i 3</w:t>
      </w:r>
      <w:r>
        <w:t xml:space="preserve"> Wykonawca przekaże Zamawiającemu </w:t>
      </w:r>
      <w:r w:rsidR="00237909">
        <w:t>po 34</w:t>
      </w:r>
      <w:r>
        <w:t xml:space="preserve"> szt. butelek ze spryskiwaczem (koszt butelek należy ująć w cenie oferty) oklejonych oryginalną etykietą producenta z nazwą produktu i sposobem użytkowania oraz </w:t>
      </w:r>
      <w:r w:rsidR="00237909">
        <w:t>34</w:t>
      </w:r>
      <w:r>
        <w:t xml:space="preserve"> oryginalnych pustych opakowań 1L z </w:t>
      </w:r>
      <w:proofErr w:type="spellStart"/>
      <w:r>
        <w:t>korkoklapką</w:t>
      </w:r>
      <w:proofErr w:type="spellEnd"/>
      <w:r>
        <w:t xml:space="preserve"> umożliwiającą dozowanie roztworu roboczego pod obrzeże muszli. Dotyczy pozycji </w:t>
      </w:r>
      <w:r w:rsidR="00237909">
        <w:t>5</w:t>
      </w:r>
    </w:p>
    <w:p w:rsidR="00A02237" w:rsidRDefault="00A02237" w:rsidP="00A02237">
      <w:pPr>
        <w:pStyle w:val="gwp047f6057msonormal"/>
      </w:pPr>
      <w:r>
        <w:t>2.Dla pozycji 1,3,4 Wykonawca udostępni na czas realizacji umowy systemy dozujące w ilości 17  (koszt systemów dozujących wraz z montażem i serwisem należy ująć w cenie oferty). W skład systemu wchodzi urządzenie umożliwiające podłączenie co najmniej  4 preparatów i dozowanie ich w stężeniu od 0,25% .Termin dostawy i montażu systemów dozujących 5 dni od daty zawarcia umowy.</w:t>
      </w:r>
    </w:p>
    <w:p w:rsidR="00A02237" w:rsidRDefault="00A02237" w:rsidP="00A02237">
      <w:pPr>
        <w:pStyle w:val="gwp047f6057msonormal"/>
      </w:pPr>
      <w:r>
        <w:t xml:space="preserve"> 3. Preparaty określone w pozycjach 6,7 powinny pochodzić od jednego producenta. Ponadto, dla powyższych pozycji Wykonawca dostarczy Zamawiającemu 17 </w:t>
      </w:r>
      <w:proofErr w:type="spellStart"/>
      <w:r>
        <w:t>zalaminowanych</w:t>
      </w:r>
      <w:proofErr w:type="spellEnd"/>
      <w:r>
        <w:t xml:space="preserve"> planów higieny dotyczących postępowania z danym preparatem chemicznym, nie później niż przed pierwszą dostawą zakupionych środków.</w:t>
      </w:r>
    </w:p>
    <w:p w:rsidR="00A02237" w:rsidRDefault="00A02237" w:rsidP="00A02237">
      <w:pPr>
        <w:pStyle w:val="gwp047f6057msonormal"/>
      </w:pPr>
      <w:r>
        <w:t> 4. Wykonawca zapewni do wszystkich zamontowanych systemów dozujących opiekę serwisową na każde wezwanie Zamawiającego. Wykonawca zapewni dojazd serwisu do 3 dni roboczych.</w:t>
      </w:r>
    </w:p>
    <w:p w:rsidR="00A02237" w:rsidRDefault="00A02237" w:rsidP="00A02237">
      <w:pPr>
        <w:pStyle w:val="gwp047f6057msonormal"/>
      </w:pPr>
      <w:r>
        <w:t> 5. Wykonawca po podpisaniu umowy, przeprowadzi szkolenie nieodpłatnie w siedzibie Zamawiającego dla personelu sprzątającego z zakresu bezpiecznego i skutecznego używania zaoferowanych środków i systemów dozujących na żądanie Zamawiającego. Wykonawca przeprowadzi ewentualne drugie szkolenie w trakcie realizacji umowy.</w:t>
      </w:r>
    </w:p>
    <w:p w:rsidR="00A02237" w:rsidRDefault="00A02237" w:rsidP="00A02237">
      <w:pPr>
        <w:pStyle w:val="gwp047f6057msonormal"/>
      </w:pPr>
      <w:r>
        <w:t> </w:t>
      </w:r>
    </w:p>
    <w:p w:rsidR="0068184E" w:rsidRDefault="0068184E" w:rsidP="0068184E">
      <w:r>
        <w:t xml:space="preserve">                   ….. ……………………….                                                                                                         ...................................</w:t>
      </w:r>
    </w:p>
    <w:p w:rsidR="0068184E" w:rsidRDefault="0068184E" w:rsidP="0068184E">
      <w:r>
        <w:t xml:space="preserve">                             Miejscowość, data                                                                                                                pieczątka i podpis                                                     </w:t>
      </w:r>
    </w:p>
    <w:p w:rsidR="0068184E" w:rsidRDefault="0068184E" w:rsidP="0068184E"/>
    <w:p w:rsidR="00237909" w:rsidRDefault="00237909" w:rsidP="00DE3184">
      <w:pPr>
        <w:rPr>
          <w:b/>
          <w:bCs/>
          <w:lang w:val="pl-PL"/>
        </w:rPr>
      </w:pPr>
    </w:p>
    <w:p w:rsidR="00237909" w:rsidRDefault="00237909" w:rsidP="00DE3184">
      <w:pPr>
        <w:rPr>
          <w:b/>
          <w:bCs/>
          <w:lang w:val="pl-PL"/>
        </w:rPr>
      </w:pPr>
    </w:p>
    <w:p w:rsidR="00DE3184" w:rsidRDefault="00DE3184" w:rsidP="00DE3184">
      <w:pPr>
        <w:rPr>
          <w:b/>
          <w:bCs/>
        </w:rPr>
      </w:pPr>
      <w:r>
        <w:rPr>
          <w:b/>
          <w:bCs/>
        </w:rPr>
        <w:lastRenderedPageBreak/>
        <w:t>Zadanie nr 2  Dozowniki - FORMULARZ CENOWY</w:t>
      </w: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8"/>
        <w:gridCol w:w="3938"/>
        <w:gridCol w:w="1058"/>
        <w:gridCol w:w="879"/>
        <w:gridCol w:w="1417"/>
        <w:gridCol w:w="1701"/>
        <w:gridCol w:w="992"/>
        <w:gridCol w:w="1276"/>
        <w:gridCol w:w="2126"/>
        <w:gridCol w:w="1276"/>
      </w:tblGrid>
      <w:tr w:rsidR="007E24B2" w:rsidTr="007E24B2">
        <w:trPr>
          <w:tblHeader/>
        </w:trPr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  <w:spacing w:after="0"/>
            </w:pPr>
            <w:r>
              <w:t>Lp.</w:t>
            </w:r>
          </w:p>
        </w:tc>
        <w:tc>
          <w:tcPr>
            <w:tcW w:w="3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  <w:spacing w:after="0"/>
            </w:pPr>
            <w:r>
              <w:t>Przedmiot zamówienia</w:t>
            </w:r>
          </w:p>
        </w:tc>
        <w:tc>
          <w:tcPr>
            <w:tcW w:w="1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  <w:spacing w:after="0"/>
            </w:pPr>
            <w:r>
              <w:t>J.m.</w:t>
            </w:r>
          </w:p>
        </w:tc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  <w:spacing w:after="0"/>
            </w:pPr>
            <w:r>
              <w:t>Ilość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  <w:spacing w:after="0"/>
            </w:pPr>
            <w:r>
              <w:t xml:space="preserve">Cena </w:t>
            </w:r>
            <w:r>
              <w:rPr>
                <w:lang w:val="pl-PL"/>
              </w:rPr>
              <w:t>jedn.</w:t>
            </w:r>
            <w:r>
              <w:t>netto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  <w:spacing w:after="0"/>
            </w:pPr>
            <w:r>
              <w:t>Wartość netto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</w:pPr>
            <w:r>
              <w:t>%</w:t>
            </w:r>
          </w:p>
          <w:p w:rsidR="007E24B2" w:rsidRDefault="007E24B2" w:rsidP="00DE3184">
            <w:pPr>
              <w:pStyle w:val="Nagwektabeli"/>
              <w:spacing w:after="0"/>
            </w:pPr>
            <w:r>
              <w:t>VAT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  <w:spacing w:after="0"/>
            </w:pPr>
            <w:r>
              <w:t>Wartość VAT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  <w:spacing w:after="0"/>
            </w:pPr>
            <w:r>
              <w:t>Wartość brutto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4B2" w:rsidRPr="007E24B2" w:rsidRDefault="007E24B2" w:rsidP="00DE3184">
            <w:pPr>
              <w:pStyle w:val="Nagwektabeli"/>
              <w:snapToGrid w:val="0"/>
              <w:spacing w:after="0"/>
              <w:rPr>
                <w:lang w:val="pl-PL"/>
              </w:rPr>
            </w:pPr>
            <w:r>
              <w:rPr>
                <w:lang w:val="pl-PL"/>
              </w:rPr>
              <w:t>Producent</w:t>
            </w:r>
          </w:p>
        </w:tc>
      </w:tr>
      <w:tr w:rsidR="007E24B2" w:rsidTr="007E24B2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E24B2" w:rsidRDefault="007E24B2" w:rsidP="00DE3184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3938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Pr="00B85896" w:rsidRDefault="007E24B2" w:rsidP="00DE3184">
            <w:pPr>
              <w:pStyle w:val="NormalnyWeb"/>
              <w:rPr>
                <w:b/>
                <w:color w:val="4B4B4B"/>
              </w:rPr>
            </w:pPr>
            <w:r>
              <w:rPr>
                <w:bCs/>
              </w:rPr>
              <w:t>D</w:t>
            </w:r>
            <w:r w:rsidRPr="00B85896">
              <w:rPr>
                <w:bCs/>
              </w:rPr>
              <w:t xml:space="preserve">ozownik </w:t>
            </w:r>
            <w:r>
              <w:rPr>
                <w:bCs/>
              </w:rPr>
              <w:t xml:space="preserve">(ścienny, mocowany za pomocą śrub) </w:t>
            </w:r>
            <w:r w:rsidRPr="00B85896">
              <w:rPr>
                <w:bCs/>
              </w:rPr>
              <w:t xml:space="preserve">mydła w płynie, wykonany z </w:t>
            </w:r>
            <w:r>
              <w:rPr>
                <w:bCs/>
              </w:rPr>
              <w:t xml:space="preserve">wysokiej jakości tworzywa </w:t>
            </w:r>
            <w:r w:rsidRPr="00B85896">
              <w:rPr>
                <w:bCs/>
              </w:rPr>
              <w:t xml:space="preserve">ABS, </w:t>
            </w:r>
            <w:r>
              <w:rPr>
                <w:bCs/>
              </w:rPr>
              <w:t>w kolorze białym, posiadający wizjer umożliwiający kontrole poziomu napełniania zbiornika. Zamykany na kluczyk</w:t>
            </w:r>
            <w:r w:rsidRPr="00B85896">
              <w:rPr>
                <w:bCs/>
              </w:rPr>
              <w:t xml:space="preserve"> </w:t>
            </w:r>
            <w:r>
              <w:rPr>
                <w:bCs/>
              </w:rPr>
              <w:t>. Mydło uzupełniane z karnistra, pojemność zbiornika 1 litr, ergonomiczny przycisk do dozowania mydła.</w:t>
            </w:r>
            <w:r w:rsidRPr="00B85896">
              <w:rPr>
                <w:bCs/>
              </w:rPr>
              <w:t xml:space="preserve"> </w:t>
            </w:r>
          </w:p>
          <w:p w:rsidR="007E24B2" w:rsidRDefault="007E24B2" w:rsidP="00DE3184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Wysokość: 23-25 cm</w:t>
            </w:r>
          </w:p>
          <w:p w:rsidR="007E24B2" w:rsidRDefault="007E24B2" w:rsidP="00DE3184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Szerokość: 13-15 cm</w:t>
            </w:r>
          </w:p>
          <w:p w:rsidR="007E24B2" w:rsidRPr="00B85896" w:rsidRDefault="007E24B2" w:rsidP="00DE3184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Głębokość: 8-10 cm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szt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E24B2" w:rsidRPr="00DE3184" w:rsidRDefault="007E24B2" w:rsidP="00DE3184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lang w:val="pl-PL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4B2" w:rsidRDefault="007E24B2" w:rsidP="00DE3184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7E24B2" w:rsidTr="007E24B2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  <w:jc w:val="center"/>
            </w:pPr>
            <w:r>
              <w:t>2</w:t>
            </w:r>
          </w:p>
        </w:tc>
        <w:tc>
          <w:tcPr>
            <w:tcW w:w="3938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  <w:rPr>
                <w:color w:val="auto"/>
              </w:rPr>
            </w:pPr>
            <w:r>
              <w:t xml:space="preserve"> </w:t>
            </w:r>
            <w:r>
              <w:rPr>
                <w:bCs/>
                <w:iCs/>
              </w:rPr>
              <w:t xml:space="preserve">Uniwersalny dozownik (ścienny, mocowany za pomocą śrub) </w:t>
            </w:r>
            <w:r w:rsidRPr="00640BF3">
              <w:rPr>
                <w:bCs/>
                <w:iCs/>
              </w:rPr>
              <w:t xml:space="preserve">łokciowy </w:t>
            </w:r>
            <w:r w:rsidRPr="00640BF3">
              <w:rPr>
                <w:color w:val="auto"/>
              </w:rPr>
              <w:t>przeznaczony do preparatów myjących, dezynfekujących i pielęgnujących</w:t>
            </w:r>
            <w:r>
              <w:rPr>
                <w:bCs/>
                <w:iCs/>
              </w:rPr>
              <w:t xml:space="preserve"> wykonany z tworzywa ABS, dozowanie łokciem, napełnianie z karnistra, o pojemności 0,5l- 1l ,  regulowana ilość dozowanego preparatu </w:t>
            </w:r>
            <w:r w:rsidRPr="00640BF3">
              <w:rPr>
                <w:bCs/>
                <w:iCs/>
                <w:color w:val="auto"/>
              </w:rPr>
              <w:t>(</w:t>
            </w:r>
            <w:r w:rsidRPr="00640BF3">
              <w:rPr>
                <w:color w:val="auto"/>
              </w:rPr>
              <w:t>od ok. 0,</w:t>
            </w:r>
            <w:r w:rsidRPr="00640BF3">
              <w:rPr>
                <w:rFonts w:ascii="Arial" w:hAnsi="Arial" w:cs="Arial"/>
                <w:color w:val="auto"/>
                <w:sz w:val="20"/>
                <w:szCs w:val="20"/>
              </w:rPr>
              <w:t>5 do 1,5ml na dozę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), </w:t>
            </w:r>
            <w:r w:rsidRPr="00640BF3">
              <w:rPr>
                <w:color w:val="auto"/>
              </w:rPr>
              <w:t>dozowanie preparatu od góry pojemnika,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</w:rPr>
              <w:t>wymagane zamkni</w:t>
            </w:r>
            <w:r>
              <w:rPr>
                <w:color w:val="auto"/>
                <w:lang w:val="pl-PL"/>
              </w:rPr>
              <w:t>ę</w:t>
            </w:r>
            <w:r w:rsidRPr="00640BF3">
              <w:rPr>
                <w:color w:val="auto"/>
              </w:rPr>
              <w:t>cie na kluczyk</w:t>
            </w:r>
            <w:r>
              <w:rPr>
                <w:color w:val="auto"/>
              </w:rPr>
              <w:t>, okienko kontrolne informujące o minimalnym stanie środka</w:t>
            </w:r>
          </w:p>
          <w:p w:rsidR="007E24B2" w:rsidRDefault="007E24B2" w:rsidP="00DE3184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Wysokość: 28-30 cm</w:t>
            </w:r>
          </w:p>
          <w:p w:rsidR="007E24B2" w:rsidRDefault="007E24B2" w:rsidP="00DE3184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lastRenderedPageBreak/>
              <w:t>Szerokość: 9-10 cm</w:t>
            </w:r>
          </w:p>
          <w:p w:rsidR="007E24B2" w:rsidRPr="009835E4" w:rsidRDefault="007E24B2" w:rsidP="00DE3184">
            <w:pPr>
              <w:pStyle w:val="Zawartotabeli"/>
              <w:snapToGrid w:val="0"/>
              <w:spacing w:after="0"/>
              <w:rPr>
                <w:bCs/>
                <w:iCs/>
              </w:rPr>
            </w:pPr>
            <w:r w:rsidRPr="009835E4">
              <w:rPr>
                <w:bCs/>
              </w:rPr>
              <w:t>Długość ramienia: 19-20 cm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 szt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E24B2" w:rsidRPr="00DE3184" w:rsidRDefault="007E24B2" w:rsidP="00DE3184">
            <w:pPr>
              <w:pStyle w:val="Zawartotabeli"/>
              <w:snapToGrid w:val="0"/>
              <w:spacing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</w:pPr>
          </w:p>
        </w:tc>
      </w:tr>
      <w:tr w:rsidR="007E24B2" w:rsidTr="007E24B2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</w:t>
            </w:r>
          </w:p>
        </w:tc>
        <w:tc>
          <w:tcPr>
            <w:tcW w:w="3938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4B2" w:rsidRDefault="007E24B2" w:rsidP="00DE3184">
            <w:pPr>
              <w:pStyle w:val="Zawartotabeli"/>
              <w:snapToGrid w:val="0"/>
              <w:spacing w:after="0"/>
              <w:rPr>
                <w:b/>
                <w:bCs/>
              </w:rPr>
            </w:pPr>
          </w:p>
        </w:tc>
      </w:tr>
    </w:tbl>
    <w:p w:rsidR="00DE3184" w:rsidRDefault="00DE3184" w:rsidP="00DE3184">
      <w:r>
        <w:t xml:space="preserve">                   ….. ……………………….                                                                                                         ...................................</w:t>
      </w:r>
    </w:p>
    <w:p w:rsidR="00DE3184" w:rsidRDefault="00DE3184" w:rsidP="00DE3184">
      <w:r>
        <w:t xml:space="preserve">                             Miejscowość, data                                                                                                                pieczątka i podpis                                                     </w:t>
      </w:r>
    </w:p>
    <w:p w:rsidR="00DE3184" w:rsidRDefault="00DE3184" w:rsidP="00DE3184"/>
    <w:p w:rsidR="0068184E" w:rsidRDefault="0068184E" w:rsidP="0068184E">
      <w:pPr>
        <w:rPr>
          <w:b/>
          <w:bCs/>
          <w:sz w:val="20"/>
          <w:szCs w:val="20"/>
          <w:lang w:val="pl-PL"/>
        </w:rPr>
      </w:pPr>
    </w:p>
    <w:p w:rsidR="001570AF" w:rsidRPr="0068184E" w:rsidRDefault="001570AF" w:rsidP="001570AF">
      <w:pPr>
        <w:jc w:val="both"/>
        <w:rPr>
          <w:lang w:val="pl-PL"/>
        </w:rPr>
      </w:pPr>
    </w:p>
    <w:p w:rsidR="000B7962" w:rsidRPr="00826536" w:rsidRDefault="000B7962">
      <w:pPr>
        <w:rPr>
          <w:b/>
          <w:bCs/>
          <w:sz w:val="20"/>
          <w:szCs w:val="20"/>
        </w:rPr>
      </w:pPr>
    </w:p>
    <w:p w:rsidR="00556782" w:rsidRPr="00826536" w:rsidRDefault="00556782">
      <w:pPr>
        <w:rPr>
          <w:b/>
          <w:bCs/>
          <w:sz w:val="20"/>
          <w:szCs w:val="20"/>
        </w:rPr>
      </w:pPr>
    </w:p>
    <w:p w:rsidR="00556782" w:rsidRDefault="00556782">
      <w:pPr>
        <w:rPr>
          <w:b/>
          <w:bCs/>
          <w:sz w:val="20"/>
          <w:szCs w:val="20"/>
        </w:rPr>
      </w:pPr>
    </w:p>
    <w:p w:rsidR="00531215" w:rsidRDefault="00531215">
      <w:pPr>
        <w:rPr>
          <w:b/>
          <w:bCs/>
          <w:sz w:val="20"/>
          <w:szCs w:val="20"/>
        </w:rPr>
      </w:pPr>
    </w:p>
    <w:p w:rsidR="00531215" w:rsidRDefault="00531215">
      <w:pPr>
        <w:rPr>
          <w:b/>
          <w:bCs/>
          <w:sz w:val="20"/>
          <w:szCs w:val="20"/>
        </w:rPr>
      </w:pPr>
    </w:p>
    <w:p w:rsidR="00531215" w:rsidRDefault="00531215">
      <w:pPr>
        <w:rPr>
          <w:b/>
          <w:bCs/>
          <w:sz w:val="20"/>
          <w:szCs w:val="20"/>
        </w:rPr>
      </w:pPr>
    </w:p>
    <w:p w:rsidR="00531215" w:rsidRDefault="00531215">
      <w:pPr>
        <w:rPr>
          <w:b/>
          <w:bCs/>
          <w:sz w:val="20"/>
          <w:szCs w:val="20"/>
          <w:lang w:val="pl-PL"/>
        </w:rPr>
      </w:pPr>
    </w:p>
    <w:p w:rsidR="00AB6056" w:rsidRDefault="00AB6056">
      <w:pPr>
        <w:rPr>
          <w:b/>
          <w:bCs/>
          <w:sz w:val="20"/>
          <w:szCs w:val="20"/>
          <w:lang w:val="pl-PL"/>
        </w:rPr>
      </w:pPr>
    </w:p>
    <w:p w:rsidR="005E2FC6" w:rsidRDefault="005E2FC6">
      <w:pPr>
        <w:rPr>
          <w:b/>
          <w:bCs/>
          <w:sz w:val="20"/>
          <w:szCs w:val="20"/>
          <w:lang w:val="pl-PL"/>
        </w:rPr>
      </w:pPr>
    </w:p>
    <w:p w:rsidR="005E2FC6" w:rsidRDefault="005E2FC6">
      <w:pPr>
        <w:rPr>
          <w:b/>
          <w:bCs/>
          <w:sz w:val="20"/>
          <w:szCs w:val="20"/>
          <w:lang w:val="pl-PL"/>
        </w:rPr>
      </w:pPr>
    </w:p>
    <w:p w:rsidR="005E2FC6" w:rsidRDefault="005E2FC6">
      <w:pPr>
        <w:rPr>
          <w:b/>
          <w:bCs/>
          <w:sz w:val="20"/>
          <w:szCs w:val="20"/>
          <w:lang w:val="pl-PL"/>
        </w:rPr>
      </w:pPr>
    </w:p>
    <w:p w:rsidR="00307587" w:rsidRDefault="00307587">
      <w:pPr>
        <w:pStyle w:val="Legenda1"/>
      </w:pPr>
      <w:r>
        <w:t xml:space="preserve">                                                                                                            </w:t>
      </w:r>
    </w:p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/>
    <w:p w:rsidR="00307587" w:rsidRDefault="00307587">
      <w:pPr>
        <w:jc w:val="center"/>
      </w:pPr>
    </w:p>
    <w:p w:rsidR="00307587" w:rsidRDefault="00307587">
      <w:pPr>
        <w:jc w:val="center"/>
      </w:pPr>
    </w:p>
    <w:sectPr w:rsidR="00307587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425D8"/>
    <w:rsid w:val="00001FFB"/>
    <w:rsid w:val="00003A10"/>
    <w:rsid w:val="00004132"/>
    <w:rsid w:val="000048A6"/>
    <w:rsid w:val="0002220C"/>
    <w:rsid w:val="00023708"/>
    <w:rsid w:val="000520ED"/>
    <w:rsid w:val="000810B2"/>
    <w:rsid w:val="00083A34"/>
    <w:rsid w:val="00096E67"/>
    <w:rsid w:val="000A307D"/>
    <w:rsid w:val="000B7962"/>
    <w:rsid w:val="000C5516"/>
    <w:rsid w:val="000D7AF2"/>
    <w:rsid w:val="000E1FF4"/>
    <w:rsid w:val="000F0524"/>
    <w:rsid w:val="000F1344"/>
    <w:rsid w:val="00124FE2"/>
    <w:rsid w:val="001321BD"/>
    <w:rsid w:val="00137FBB"/>
    <w:rsid w:val="001425D8"/>
    <w:rsid w:val="001570AF"/>
    <w:rsid w:val="00164331"/>
    <w:rsid w:val="001770DD"/>
    <w:rsid w:val="0017717C"/>
    <w:rsid w:val="001A7106"/>
    <w:rsid w:val="001C0E8E"/>
    <w:rsid w:val="001D33B1"/>
    <w:rsid w:val="001E3D02"/>
    <w:rsid w:val="001F7ED4"/>
    <w:rsid w:val="00204058"/>
    <w:rsid w:val="002174CB"/>
    <w:rsid w:val="00226B75"/>
    <w:rsid w:val="00237909"/>
    <w:rsid w:val="00240D1D"/>
    <w:rsid w:val="00246F28"/>
    <w:rsid w:val="00254F71"/>
    <w:rsid w:val="002804F8"/>
    <w:rsid w:val="002901F5"/>
    <w:rsid w:val="002936C3"/>
    <w:rsid w:val="002C06C7"/>
    <w:rsid w:val="00303FA2"/>
    <w:rsid w:val="00307587"/>
    <w:rsid w:val="003150A2"/>
    <w:rsid w:val="0031522C"/>
    <w:rsid w:val="003178A0"/>
    <w:rsid w:val="00325910"/>
    <w:rsid w:val="00326533"/>
    <w:rsid w:val="0035390D"/>
    <w:rsid w:val="0036547C"/>
    <w:rsid w:val="003903C2"/>
    <w:rsid w:val="003923F8"/>
    <w:rsid w:val="003A6C28"/>
    <w:rsid w:val="003B4C76"/>
    <w:rsid w:val="003C3530"/>
    <w:rsid w:val="003C7465"/>
    <w:rsid w:val="00431D36"/>
    <w:rsid w:val="0045037C"/>
    <w:rsid w:val="00483ED7"/>
    <w:rsid w:val="00487AD2"/>
    <w:rsid w:val="004A3D9C"/>
    <w:rsid w:val="004B52A0"/>
    <w:rsid w:val="004D4294"/>
    <w:rsid w:val="004F1BF7"/>
    <w:rsid w:val="005007E6"/>
    <w:rsid w:val="00503438"/>
    <w:rsid w:val="00512622"/>
    <w:rsid w:val="00524B00"/>
    <w:rsid w:val="0053051C"/>
    <w:rsid w:val="00531215"/>
    <w:rsid w:val="0054115A"/>
    <w:rsid w:val="00556782"/>
    <w:rsid w:val="005608BA"/>
    <w:rsid w:val="00586C74"/>
    <w:rsid w:val="005E2FC6"/>
    <w:rsid w:val="005F24C7"/>
    <w:rsid w:val="005F6253"/>
    <w:rsid w:val="005F7AB3"/>
    <w:rsid w:val="006032A6"/>
    <w:rsid w:val="006307FE"/>
    <w:rsid w:val="00640BF3"/>
    <w:rsid w:val="0068184E"/>
    <w:rsid w:val="006A08CE"/>
    <w:rsid w:val="006A5BE7"/>
    <w:rsid w:val="006B5094"/>
    <w:rsid w:val="006D044F"/>
    <w:rsid w:val="006D32E2"/>
    <w:rsid w:val="006E2A4E"/>
    <w:rsid w:val="006E3508"/>
    <w:rsid w:val="00721A23"/>
    <w:rsid w:val="0072476C"/>
    <w:rsid w:val="00761631"/>
    <w:rsid w:val="00765221"/>
    <w:rsid w:val="00766126"/>
    <w:rsid w:val="007859D6"/>
    <w:rsid w:val="007C6D7D"/>
    <w:rsid w:val="007E24B2"/>
    <w:rsid w:val="007F14AE"/>
    <w:rsid w:val="007F5AE9"/>
    <w:rsid w:val="007F6935"/>
    <w:rsid w:val="00806846"/>
    <w:rsid w:val="008239F9"/>
    <w:rsid w:val="00826536"/>
    <w:rsid w:val="0084769F"/>
    <w:rsid w:val="008607BB"/>
    <w:rsid w:val="00873676"/>
    <w:rsid w:val="00874FA0"/>
    <w:rsid w:val="008939C7"/>
    <w:rsid w:val="008A710D"/>
    <w:rsid w:val="008D506C"/>
    <w:rsid w:val="008E4802"/>
    <w:rsid w:val="00911ADC"/>
    <w:rsid w:val="00951CEA"/>
    <w:rsid w:val="0096333F"/>
    <w:rsid w:val="009E125C"/>
    <w:rsid w:val="00A02237"/>
    <w:rsid w:val="00A237D2"/>
    <w:rsid w:val="00A27F73"/>
    <w:rsid w:val="00A34254"/>
    <w:rsid w:val="00A46BE2"/>
    <w:rsid w:val="00A808E1"/>
    <w:rsid w:val="00A83DE4"/>
    <w:rsid w:val="00A9676F"/>
    <w:rsid w:val="00AB0DE1"/>
    <w:rsid w:val="00AB2955"/>
    <w:rsid w:val="00AB6056"/>
    <w:rsid w:val="00B01EB7"/>
    <w:rsid w:val="00B03F72"/>
    <w:rsid w:val="00B204E3"/>
    <w:rsid w:val="00B85896"/>
    <w:rsid w:val="00B92278"/>
    <w:rsid w:val="00BC41E0"/>
    <w:rsid w:val="00BC7F44"/>
    <w:rsid w:val="00BE522A"/>
    <w:rsid w:val="00BF7359"/>
    <w:rsid w:val="00C01864"/>
    <w:rsid w:val="00C10089"/>
    <w:rsid w:val="00C27D90"/>
    <w:rsid w:val="00C32C1A"/>
    <w:rsid w:val="00C40307"/>
    <w:rsid w:val="00C745C9"/>
    <w:rsid w:val="00C9257C"/>
    <w:rsid w:val="00CA3FB6"/>
    <w:rsid w:val="00CA58D0"/>
    <w:rsid w:val="00CD35AB"/>
    <w:rsid w:val="00CD3961"/>
    <w:rsid w:val="00D40016"/>
    <w:rsid w:val="00D75156"/>
    <w:rsid w:val="00D81F47"/>
    <w:rsid w:val="00D83474"/>
    <w:rsid w:val="00D94B51"/>
    <w:rsid w:val="00DE3184"/>
    <w:rsid w:val="00DE3EF7"/>
    <w:rsid w:val="00DE4569"/>
    <w:rsid w:val="00E127D9"/>
    <w:rsid w:val="00E217BD"/>
    <w:rsid w:val="00E54C21"/>
    <w:rsid w:val="00EA0752"/>
    <w:rsid w:val="00EA0769"/>
    <w:rsid w:val="00EA1881"/>
    <w:rsid w:val="00EB4E38"/>
    <w:rsid w:val="00EC084F"/>
    <w:rsid w:val="00EE66DB"/>
    <w:rsid w:val="00EF25DF"/>
    <w:rsid w:val="00F177B4"/>
    <w:rsid w:val="00F265DD"/>
    <w:rsid w:val="00F41564"/>
    <w:rsid w:val="00F70D26"/>
    <w:rsid w:val="00F77CE7"/>
    <w:rsid w:val="00F8301F"/>
    <w:rsid w:val="00F84A35"/>
    <w:rsid w:val="00F86FD7"/>
    <w:rsid w:val="00FA01B0"/>
    <w:rsid w:val="00FC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color w:val="FF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ny"/>
    <w:next w:val="Normalny"/>
    <w:pPr>
      <w:widowControl/>
      <w:spacing w:before="120" w:after="120"/>
    </w:pPr>
    <w:rPr>
      <w:rFonts w:eastAsia="Times New Roman"/>
      <w:b/>
      <w:color w:val="auto"/>
      <w:szCs w:val="20"/>
      <w:lang w:val="pl-PL"/>
    </w:rPr>
  </w:style>
  <w:style w:type="paragraph" w:styleId="NormalnyWeb">
    <w:name w:val="Normal (Web)"/>
    <w:basedOn w:val="Normalny"/>
    <w:rsid w:val="00B8589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pl-PL" w:eastAsia="pl-PL"/>
    </w:rPr>
  </w:style>
  <w:style w:type="character" w:styleId="Pogrubienie">
    <w:name w:val="Strong"/>
    <w:basedOn w:val="Domylnaczcionkaakapitu"/>
    <w:qFormat/>
    <w:rsid w:val="00B85896"/>
    <w:rPr>
      <w:b/>
      <w:bCs/>
    </w:rPr>
  </w:style>
  <w:style w:type="table" w:styleId="Tabela-Siatka">
    <w:name w:val="Table Grid"/>
    <w:basedOn w:val="Standardowy"/>
    <w:uiPriority w:val="59"/>
    <w:rsid w:val="001570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0A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gwp047f6057msonormal">
    <w:name w:val="gwp047f6057_msonormal"/>
    <w:basedOn w:val="Normalny"/>
    <w:rsid w:val="007859D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ZP-III –343/12/09                                                      Załącznik nr 2 – formularz cenowy</vt:lpstr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ZP-III –343/12/09                                                      Załącznik nr 2 – formularz cenowy</dc:title>
  <dc:creator>Barbara Wrona</dc:creator>
  <cp:lastModifiedBy>witekm</cp:lastModifiedBy>
  <cp:revision>2</cp:revision>
  <cp:lastPrinted>2018-04-17T09:30:00Z</cp:lastPrinted>
  <dcterms:created xsi:type="dcterms:W3CDTF">2018-04-18T10:21:00Z</dcterms:created>
  <dcterms:modified xsi:type="dcterms:W3CDTF">2018-04-18T10:21:00Z</dcterms:modified>
</cp:coreProperties>
</file>